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63931155"/>
        <w:docPartObj>
          <w:docPartGallery w:val="Table of Contents"/>
          <w:docPartUnique/>
        </w:docPartObj>
      </w:sdtPr>
      <w:sdtEndPr>
        <w:rPr>
          <w:rFonts w:asciiTheme="minorHAnsi" w:eastAsiaTheme="minorEastAsia" w:hAnsiTheme="minorHAnsi" w:cstheme="minorBidi"/>
          <w:b/>
          <w:bCs/>
          <w:caps w:val="0"/>
          <w:noProof/>
          <w:sz w:val="22"/>
          <w:szCs w:val="22"/>
        </w:rPr>
      </w:sdtEndPr>
      <w:sdtContent>
        <w:p w14:paraId="7287454C" w14:textId="6D7044C9" w:rsidR="00DF2413" w:rsidRPr="00537143" w:rsidRDefault="00537143" w:rsidP="00537143">
          <w:pPr>
            <w:pStyle w:val="TOCHeading"/>
            <w:jc w:val="center"/>
            <w:rPr>
              <w:b/>
              <w:bCs/>
              <w:color w:val="156082" w:themeColor="accent1"/>
              <w:sz w:val="48"/>
              <w:szCs w:val="48"/>
            </w:rPr>
          </w:pPr>
          <w:r w:rsidRPr="00537143">
            <w:rPr>
              <w:b/>
              <w:bCs/>
              <w:color w:val="156082" w:themeColor="accent1"/>
              <w:sz w:val="48"/>
              <w:szCs w:val="48"/>
            </w:rPr>
            <w:t>NH Insurance LAW FAQ</w:t>
          </w:r>
        </w:p>
        <w:p w14:paraId="7A7D2A18" w14:textId="4A7A672D" w:rsidR="00DF2413" w:rsidRDefault="00DF2413">
          <w:pPr>
            <w:pStyle w:val="TOCHeading"/>
            <w:rPr>
              <w:b/>
              <w:bCs/>
              <w:color w:val="156082" w:themeColor="accent1"/>
            </w:rPr>
          </w:pPr>
          <w:r w:rsidRPr="00537143">
            <w:rPr>
              <w:b/>
              <w:bCs/>
              <w:color w:val="156082" w:themeColor="accent1"/>
            </w:rPr>
            <w:t>Contents</w:t>
          </w:r>
        </w:p>
        <w:p w14:paraId="7A954189" w14:textId="77777777" w:rsidR="00537143" w:rsidRPr="00537143" w:rsidRDefault="00537143" w:rsidP="00537143"/>
        <w:p w14:paraId="597058FE" w14:textId="75110444" w:rsidR="00DF2413" w:rsidRDefault="00DF2413">
          <w:pPr>
            <w:pStyle w:val="TOC1"/>
            <w:tabs>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1613478" w:history="1">
            <w:r w:rsidRPr="00323B9C">
              <w:rPr>
                <w:rStyle w:val="Hyperlink"/>
                <w:noProof/>
              </w:rPr>
              <w:t>CANCELLATION &amp; NON-RENEWAL</w:t>
            </w:r>
            <w:r w:rsidRPr="00323B9C">
              <w:rPr>
                <w:rStyle w:val="Hyperlink"/>
                <w:noProof/>
              </w:rPr>
              <w:t xml:space="preserve"> </w:t>
            </w:r>
            <w:r w:rsidRPr="00323B9C">
              <w:rPr>
                <w:rStyle w:val="Hyperlink"/>
                <w:noProof/>
              </w:rPr>
              <w:t>LAWS</w:t>
            </w:r>
            <w:r>
              <w:rPr>
                <w:noProof/>
                <w:webHidden/>
              </w:rPr>
              <w:tab/>
            </w:r>
            <w:r>
              <w:rPr>
                <w:noProof/>
                <w:webHidden/>
              </w:rPr>
              <w:fldChar w:fldCharType="begin"/>
            </w:r>
            <w:r>
              <w:rPr>
                <w:noProof/>
                <w:webHidden/>
              </w:rPr>
              <w:instrText xml:space="preserve"> PAGEREF _Toc221613478 \h </w:instrText>
            </w:r>
            <w:r>
              <w:rPr>
                <w:noProof/>
                <w:webHidden/>
              </w:rPr>
            </w:r>
            <w:r>
              <w:rPr>
                <w:noProof/>
                <w:webHidden/>
              </w:rPr>
              <w:fldChar w:fldCharType="separate"/>
            </w:r>
            <w:r>
              <w:rPr>
                <w:noProof/>
                <w:webHidden/>
              </w:rPr>
              <w:t>2</w:t>
            </w:r>
            <w:r>
              <w:rPr>
                <w:noProof/>
                <w:webHidden/>
              </w:rPr>
              <w:fldChar w:fldCharType="end"/>
            </w:r>
          </w:hyperlink>
        </w:p>
        <w:p w14:paraId="4612E230" w14:textId="57126C60" w:rsidR="00DF2413" w:rsidRDefault="00DF2413">
          <w:pPr>
            <w:pStyle w:val="TOC2"/>
            <w:tabs>
              <w:tab w:val="right" w:leader="dot" w:pos="9350"/>
            </w:tabs>
            <w:rPr>
              <w:rFonts w:cstheme="minorBidi"/>
              <w:noProof/>
              <w:kern w:val="2"/>
              <w:sz w:val="24"/>
              <w:szCs w:val="24"/>
              <w14:ligatures w14:val="standardContextual"/>
            </w:rPr>
          </w:pPr>
          <w:hyperlink w:anchor="_Toc221613479" w:history="1">
            <w:r w:rsidRPr="00323B9C">
              <w:rPr>
                <w:rStyle w:val="Hyperlink"/>
                <w:noProof/>
              </w:rPr>
              <w:t xml:space="preserve">Personal </w:t>
            </w:r>
            <w:r w:rsidRPr="00323B9C">
              <w:rPr>
                <w:rStyle w:val="Hyperlink"/>
                <w:noProof/>
              </w:rPr>
              <w:t>A</w:t>
            </w:r>
            <w:r w:rsidRPr="00323B9C">
              <w:rPr>
                <w:rStyle w:val="Hyperlink"/>
                <w:noProof/>
              </w:rPr>
              <w:t>uto</w:t>
            </w:r>
            <w:r>
              <w:rPr>
                <w:noProof/>
                <w:webHidden/>
              </w:rPr>
              <w:tab/>
            </w:r>
            <w:r>
              <w:rPr>
                <w:noProof/>
                <w:webHidden/>
              </w:rPr>
              <w:fldChar w:fldCharType="begin"/>
            </w:r>
            <w:r>
              <w:rPr>
                <w:noProof/>
                <w:webHidden/>
              </w:rPr>
              <w:instrText xml:space="preserve"> PAGEREF _Toc221613479 \h </w:instrText>
            </w:r>
            <w:r>
              <w:rPr>
                <w:noProof/>
                <w:webHidden/>
              </w:rPr>
            </w:r>
            <w:r>
              <w:rPr>
                <w:noProof/>
                <w:webHidden/>
              </w:rPr>
              <w:fldChar w:fldCharType="separate"/>
            </w:r>
            <w:r>
              <w:rPr>
                <w:noProof/>
                <w:webHidden/>
              </w:rPr>
              <w:t>2</w:t>
            </w:r>
            <w:r>
              <w:rPr>
                <w:noProof/>
                <w:webHidden/>
              </w:rPr>
              <w:fldChar w:fldCharType="end"/>
            </w:r>
          </w:hyperlink>
        </w:p>
        <w:p w14:paraId="5D7C2414" w14:textId="091C822F" w:rsidR="00DF2413" w:rsidRDefault="00DF2413">
          <w:pPr>
            <w:pStyle w:val="TOC2"/>
            <w:tabs>
              <w:tab w:val="right" w:leader="dot" w:pos="9350"/>
            </w:tabs>
            <w:rPr>
              <w:rFonts w:cstheme="minorBidi"/>
              <w:noProof/>
              <w:kern w:val="2"/>
              <w:sz w:val="24"/>
              <w:szCs w:val="24"/>
              <w14:ligatures w14:val="standardContextual"/>
            </w:rPr>
          </w:pPr>
          <w:hyperlink w:anchor="_Toc221613480" w:history="1">
            <w:r w:rsidRPr="00323B9C">
              <w:rPr>
                <w:rStyle w:val="Hyperlink"/>
                <w:noProof/>
              </w:rPr>
              <w:t>All Other Personal Lines</w:t>
            </w:r>
            <w:r>
              <w:rPr>
                <w:noProof/>
                <w:webHidden/>
              </w:rPr>
              <w:tab/>
            </w:r>
            <w:r>
              <w:rPr>
                <w:noProof/>
                <w:webHidden/>
              </w:rPr>
              <w:fldChar w:fldCharType="begin"/>
            </w:r>
            <w:r>
              <w:rPr>
                <w:noProof/>
                <w:webHidden/>
              </w:rPr>
              <w:instrText xml:space="preserve"> PAGEREF _Toc221613480 \h </w:instrText>
            </w:r>
            <w:r>
              <w:rPr>
                <w:noProof/>
                <w:webHidden/>
              </w:rPr>
            </w:r>
            <w:r>
              <w:rPr>
                <w:noProof/>
                <w:webHidden/>
              </w:rPr>
              <w:fldChar w:fldCharType="separate"/>
            </w:r>
            <w:r>
              <w:rPr>
                <w:noProof/>
                <w:webHidden/>
              </w:rPr>
              <w:t>2</w:t>
            </w:r>
            <w:r>
              <w:rPr>
                <w:noProof/>
                <w:webHidden/>
              </w:rPr>
              <w:fldChar w:fldCharType="end"/>
            </w:r>
          </w:hyperlink>
        </w:p>
        <w:p w14:paraId="7E80E888" w14:textId="10C14C31" w:rsidR="00DF2413" w:rsidRDefault="00DF2413">
          <w:pPr>
            <w:pStyle w:val="TOC2"/>
            <w:tabs>
              <w:tab w:val="right" w:leader="dot" w:pos="9350"/>
            </w:tabs>
            <w:rPr>
              <w:rFonts w:cstheme="minorBidi"/>
              <w:noProof/>
              <w:kern w:val="2"/>
              <w:sz w:val="24"/>
              <w:szCs w:val="24"/>
              <w14:ligatures w14:val="standardContextual"/>
            </w:rPr>
          </w:pPr>
          <w:hyperlink w:anchor="_Toc221613481" w:history="1">
            <w:r w:rsidRPr="00323B9C">
              <w:rPr>
                <w:rStyle w:val="Hyperlink"/>
                <w:noProof/>
              </w:rPr>
              <w:t>Commercial Lines (other than Workers Compensation)</w:t>
            </w:r>
            <w:r>
              <w:rPr>
                <w:noProof/>
                <w:webHidden/>
              </w:rPr>
              <w:tab/>
            </w:r>
            <w:r>
              <w:rPr>
                <w:noProof/>
                <w:webHidden/>
              </w:rPr>
              <w:fldChar w:fldCharType="begin"/>
            </w:r>
            <w:r>
              <w:rPr>
                <w:noProof/>
                <w:webHidden/>
              </w:rPr>
              <w:instrText xml:space="preserve"> PAGEREF _Toc221613481 \h </w:instrText>
            </w:r>
            <w:r>
              <w:rPr>
                <w:noProof/>
                <w:webHidden/>
              </w:rPr>
            </w:r>
            <w:r>
              <w:rPr>
                <w:noProof/>
                <w:webHidden/>
              </w:rPr>
              <w:fldChar w:fldCharType="separate"/>
            </w:r>
            <w:r>
              <w:rPr>
                <w:noProof/>
                <w:webHidden/>
              </w:rPr>
              <w:t>3</w:t>
            </w:r>
            <w:r>
              <w:rPr>
                <w:noProof/>
                <w:webHidden/>
              </w:rPr>
              <w:fldChar w:fldCharType="end"/>
            </w:r>
          </w:hyperlink>
        </w:p>
        <w:p w14:paraId="32659E5F" w14:textId="0FF40601" w:rsidR="00DF2413" w:rsidRDefault="00537143">
          <w:pPr>
            <w:pStyle w:val="TOC1"/>
            <w:tabs>
              <w:tab w:val="right" w:leader="dot" w:pos="9350"/>
            </w:tabs>
            <w:rPr>
              <w:rFonts w:cstheme="minorBidi"/>
              <w:noProof/>
              <w:kern w:val="2"/>
              <w:sz w:val="24"/>
              <w:szCs w:val="24"/>
              <w14:ligatures w14:val="standardContextual"/>
            </w:rPr>
          </w:pPr>
          <w:r>
            <w:rPr>
              <w:rStyle w:val="Hyperlink"/>
              <w:noProof/>
              <w:u w:val="none"/>
            </w:rPr>
            <w:t xml:space="preserve">     </w:t>
          </w:r>
          <w:hyperlink w:anchor="_Toc221613482" w:history="1">
            <w:r w:rsidR="00DF2413" w:rsidRPr="00323B9C">
              <w:rPr>
                <w:rStyle w:val="Hyperlink"/>
                <w:noProof/>
              </w:rPr>
              <w:t>Workers Compensation</w:t>
            </w:r>
            <w:r w:rsidR="00DF2413">
              <w:rPr>
                <w:noProof/>
                <w:webHidden/>
              </w:rPr>
              <w:tab/>
            </w:r>
            <w:r w:rsidR="00DF2413">
              <w:rPr>
                <w:noProof/>
                <w:webHidden/>
              </w:rPr>
              <w:fldChar w:fldCharType="begin"/>
            </w:r>
            <w:r w:rsidR="00DF2413">
              <w:rPr>
                <w:noProof/>
                <w:webHidden/>
              </w:rPr>
              <w:instrText xml:space="preserve"> PAGEREF _Toc221613482 \h </w:instrText>
            </w:r>
            <w:r w:rsidR="00DF2413">
              <w:rPr>
                <w:noProof/>
                <w:webHidden/>
              </w:rPr>
            </w:r>
            <w:r w:rsidR="00DF2413">
              <w:rPr>
                <w:noProof/>
                <w:webHidden/>
              </w:rPr>
              <w:fldChar w:fldCharType="separate"/>
            </w:r>
            <w:r w:rsidR="00DF2413">
              <w:rPr>
                <w:noProof/>
                <w:webHidden/>
              </w:rPr>
              <w:t>4</w:t>
            </w:r>
            <w:r w:rsidR="00DF2413">
              <w:rPr>
                <w:noProof/>
                <w:webHidden/>
              </w:rPr>
              <w:fldChar w:fldCharType="end"/>
            </w:r>
          </w:hyperlink>
        </w:p>
        <w:p w14:paraId="7F796AD0" w14:textId="02D2FE8E" w:rsidR="00DF2413" w:rsidRDefault="00DF2413">
          <w:pPr>
            <w:pStyle w:val="TOC1"/>
            <w:tabs>
              <w:tab w:val="right" w:leader="dot" w:pos="9350"/>
            </w:tabs>
            <w:rPr>
              <w:rFonts w:cstheme="minorBidi"/>
              <w:noProof/>
              <w:kern w:val="2"/>
              <w:sz w:val="24"/>
              <w:szCs w:val="24"/>
              <w14:ligatures w14:val="standardContextual"/>
            </w:rPr>
          </w:pPr>
          <w:hyperlink w:anchor="_Toc221613483" w:history="1">
            <w:r w:rsidRPr="00323B9C">
              <w:rPr>
                <w:rStyle w:val="Hyperlink"/>
                <w:noProof/>
              </w:rPr>
              <w:t>CLAIMS LAWS</w:t>
            </w:r>
            <w:r>
              <w:rPr>
                <w:noProof/>
                <w:webHidden/>
              </w:rPr>
              <w:tab/>
            </w:r>
            <w:r>
              <w:rPr>
                <w:noProof/>
                <w:webHidden/>
              </w:rPr>
              <w:fldChar w:fldCharType="begin"/>
            </w:r>
            <w:r>
              <w:rPr>
                <w:noProof/>
                <w:webHidden/>
              </w:rPr>
              <w:instrText xml:space="preserve"> PAGEREF _Toc221613483 \h </w:instrText>
            </w:r>
            <w:r>
              <w:rPr>
                <w:noProof/>
                <w:webHidden/>
              </w:rPr>
            </w:r>
            <w:r>
              <w:rPr>
                <w:noProof/>
                <w:webHidden/>
              </w:rPr>
              <w:fldChar w:fldCharType="separate"/>
            </w:r>
            <w:r>
              <w:rPr>
                <w:noProof/>
                <w:webHidden/>
              </w:rPr>
              <w:t>4</w:t>
            </w:r>
            <w:r>
              <w:rPr>
                <w:noProof/>
                <w:webHidden/>
              </w:rPr>
              <w:fldChar w:fldCharType="end"/>
            </w:r>
          </w:hyperlink>
        </w:p>
        <w:p w14:paraId="7003B8A0" w14:textId="00269C82" w:rsidR="00DF2413" w:rsidRDefault="00DF2413">
          <w:pPr>
            <w:pStyle w:val="TOC1"/>
            <w:tabs>
              <w:tab w:val="right" w:leader="dot" w:pos="9350"/>
            </w:tabs>
            <w:rPr>
              <w:rFonts w:cstheme="minorBidi"/>
              <w:noProof/>
              <w:kern w:val="2"/>
              <w:sz w:val="24"/>
              <w:szCs w:val="24"/>
              <w14:ligatures w14:val="standardContextual"/>
            </w:rPr>
          </w:pPr>
          <w:hyperlink w:anchor="_Toc221613484" w:history="1">
            <w:r w:rsidRPr="00323B9C">
              <w:rPr>
                <w:rStyle w:val="Hyperlink"/>
                <w:noProof/>
              </w:rPr>
              <w:t>PRODUCER LICENSING &amp; CONTINUING EDUCATION</w:t>
            </w:r>
            <w:r>
              <w:rPr>
                <w:noProof/>
                <w:webHidden/>
              </w:rPr>
              <w:tab/>
            </w:r>
            <w:r>
              <w:rPr>
                <w:noProof/>
                <w:webHidden/>
              </w:rPr>
              <w:fldChar w:fldCharType="begin"/>
            </w:r>
            <w:r>
              <w:rPr>
                <w:noProof/>
                <w:webHidden/>
              </w:rPr>
              <w:instrText xml:space="preserve"> PAGEREF _Toc221613484 \h </w:instrText>
            </w:r>
            <w:r>
              <w:rPr>
                <w:noProof/>
                <w:webHidden/>
              </w:rPr>
            </w:r>
            <w:r>
              <w:rPr>
                <w:noProof/>
                <w:webHidden/>
              </w:rPr>
              <w:fldChar w:fldCharType="separate"/>
            </w:r>
            <w:r>
              <w:rPr>
                <w:noProof/>
                <w:webHidden/>
              </w:rPr>
              <w:t>4</w:t>
            </w:r>
            <w:r>
              <w:rPr>
                <w:noProof/>
                <w:webHidden/>
              </w:rPr>
              <w:fldChar w:fldCharType="end"/>
            </w:r>
          </w:hyperlink>
        </w:p>
        <w:p w14:paraId="59CED71F" w14:textId="4198EC83" w:rsidR="00DF2413" w:rsidRDefault="00DF2413">
          <w:pPr>
            <w:pStyle w:val="TOC1"/>
            <w:tabs>
              <w:tab w:val="right" w:leader="dot" w:pos="9350"/>
            </w:tabs>
            <w:rPr>
              <w:rFonts w:cstheme="minorBidi"/>
              <w:noProof/>
              <w:kern w:val="2"/>
              <w:sz w:val="24"/>
              <w:szCs w:val="24"/>
              <w14:ligatures w14:val="standardContextual"/>
            </w:rPr>
          </w:pPr>
          <w:hyperlink w:anchor="_Toc221613485" w:history="1">
            <w:r w:rsidRPr="00323B9C">
              <w:rPr>
                <w:rStyle w:val="Hyperlink"/>
                <w:noProof/>
              </w:rPr>
              <w:t>PERSONAL AUTO</w:t>
            </w:r>
            <w:r>
              <w:rPr>
                <w:noProof/>
                <w:webHidden/>
              </w:rPr>
              <w:tab/>
            </w:r>
            <w:r>
              <w:rPr>
                <w:noProof/>
                <w:webHidden/>
              </w:rPr>
              <w:fldChar w:fldCharType="begin"/>
            </w:r>
            <w:r>
              <w:rPr>
                <w:noProof/>
                <w:webHidden/>
              </w:rPr>
              <w:instrText xml:space="preserve"> PAGEREF _Toc221613485 \h </w:instrText>
            </w:r>
            <w:r>
              <w:rPr>
                <w:noProof/>
                <w:webHidden/>
              </w:rPr>
            </w:r>
            <w:r>
              <w:rPr>
                <w:noProof/>
                <w:webHidden/>
              </w:rPr>
              <w:fldChar w:fldCharType="separate"/>
            </w:r>
            <w:r>
              <w:rPr>
                <w:noProof/>
                <w:webHidden/>
              </w:rPr>
              <w:t>4</w:t>
            </w:r>
            <w:r>
              <w:rPr>
                <w:noProof/>
                <w:webHidden/>
              </w:rPr>
              <w:fldChar w:fldCharType="end"/>
            </w:r>
          </w:hyperlink>
        </w:p>
        <w:p w14:paraId="6F1FA9FC" w14:textId="4140223D" w:rsidR="00DF2413" w:rsidRDefault="00DF2413">
          <w:pPr>
            <w:pStyle w:val="TOC1"/>
            <w:tabs>
              <w:tab w:val="right" w:leader="dot" w:pos="9350"/>
            </w:tabs>
            <w:rPr>
              <w:rFonts w:cstheme="minorBidi"/>
              <w:noProof/>
              <w:kern w:val="2"/>
              <w:sz w:val="24"/>
              <w:szCs w:val="24"/>
              <w14:ligatures w14:val="standardContextual"/>
            </w:rPr>
          </w:pPr>
          <w:hyperlink w:anchor="_Toc221613486" w:history="1">
            <w:r w:rsidRPr="00323B9C">
              <w:rPr>
                <w:rStyle w:val="Hyperlink"/>
                <w:noProof/>
              </w:rPr>
              <w:t>WORKERS COMPENSATION</w:t>
            </w:r>
            <w:r>
              <w:rPr>
                <w:noProof/>
                <w:webHidden/>
              </w:rPr>
              <w:tab/>
            </w:r>
            <w:r>
              <w:rPr>
                <w:noProof/>
                <w:webHidden/>
              </w:rPr>
              <w:fldChar w:fldCharType="begin"/>
            </w:r>
            <w:r>
              <w:rPr>
                <w:noProof/>
                <w:webHidden/>
              </w:rPr>
              <w:instrText xml:space="preserve"> PAGEREF _Toc221613486 \h </w:instrText>
            </w:r>
            <w:r>
              <w:rPr>
                <w:noProof/>
                <w:webHidden/>
              </w:rPr>
            </w:r>
            <w:r>
              <w:rPr>
                <w:noProof/>
                <w:webHidden/>
              </w:rPr>
              <w:fldChar w:fldCharType="separate"/>
            </w:r>
            <w:r>
              <w:rPr>
                <w:noProof/>
                <w:webHidden/>
              </w:rPr>
              <w:t>5</w:t>
            </w:r>
            <w:r>
              <w:rPr>
                <w:noProof/>
                <w:webHidden/>
              </w:rPr>
              <w:fldChar w:fldCharType="end"/>
            </w:r>
          </w:hyperlink>
        </w:p>
        <w:p w14:paraId="2CC90DB4" w14:textId="29AE389A" w:rsidR="00DF2413" w:rsidRDefault="00DF2413">
          <w:pPr>
            <w:pStyle w:val="TOC1"/>
            <w:tabs>
              <w:tab w:val="right" w:leader="dot" w:pos="9350"/>
            </w:tabs>
            <w:rPr>
              <w:rFonts w:cstheme="minorBidi"/>
              <w:noProof/>
              <w:kern w:val="2"/>
              <w:sz w:val="24"/>
              <w:szCs w:val="24"/>
              <w14:ligatures w14:val="standardContextual"/>
            </w:rPr>
          </w:pPr>
          <w:hyperlink w:anchor="_Toc221613487" w:history="1">
            <w:r w:rsidRPr="00323B9C">
              <w:rPr>
                <w:rStyle w:val="Hyperlink"/>
                <w:noProof/>
              </w:rPr>
              <w:t>OTHER RELEVANT LAWS</w:t>
            </w:r>
            <w:r>
              <w:rPr>
                <w:noProof/>
                <w:webHidden/>
              </w:rPr>
              <w:tab/>
            </w:r>
            <w:r>
              <w:rPr>
                <w:noProof/>
                <w:webHidden/>
              </w:rPr>
              <w:fldChar w:fldCharType="begin"/>
            </w:r>
            <w:r>
              <w:rPr>
                <w:noProof/>
                <w:webHidden/>
              </w:rPr>
              <w:instrText xml:space="preserve"> PAGEREF _Toc221613487 \h </w:instrText>
            </w:r>
            <w:r>
              <w:rPr>
                <w:noProof/>
                <w:webHidden/>
              </w:rPr>
            </w:r>
            <w:r>
              <w:rPr>
                <w:noProof/>
                <w:webHidden/>
              </w:rPr>
              <w:fldChar w:fldCharType="separate"/>
            </w:r>
            <w:r>
              <w:rPr>
                <w:noProof/>
                <w:webHidden/>
              </w:rPr>
              <w:t>5</w:t>
            </w:r>
            <w:r>
              <w:rPr>
                <w:noProof/>
                <w:webHidden/>
              </w:rPr>
              <w:fldChar w:fldCharType="end"/>
            </w:r>
          </w:hyperlink>
        </w:p>
        <w:p w14:paraId="2EC4D36E" w14:textId="381F6E42" w:rsidR="00DF2413" w:rsidRDefault="00DF2413">
          <w:r>
            <w:rPr>
              <w:b/>
              <w:bCs/>
              <w:noProof/>
            </w:rPr>
            <w:fldChar w:fldCharType="end"/>
          </w:r>
        </w:p>
      </w:sdtContent>
    </w:sdt>
    <w:p w14:paraId="20AFA894" w14:textId="77777777" w:rsidR="002F4823" w:rsidRDefault="002F4823" w:rsidP="00D0157B">
      <w:pPr>
        <w:rPr>
          <w:b/>
          <w:bCs/>
          <w:sz w:val="36"/>
          <w:szCs w:val="36"/>
        </w:rPr>
      </w:pPr>
    </w:p>
    <w:p w14:paraId="567F3128" w14:textId="77777777" w:rsidR="002F4823" w:rsidRDefault="002F4823" w:rsidP="00D0157B">
      <w:pPr>
        <w:rPr>
          <w:b/>
          <w:bCs/>
          <w:sz w:val="36"/>
          <w:szCs w:val="36"/>
        </w:rPr>
      </w:pPr>
    </w:p>
    <w:p w14:paraId="20E512F5" w14:textId="77777777" w:rsidR="002F4823" w:rsidRDefault="002F4823" w:rsidP="00D0157B">
      <w:pPr>
        <w:rPr>
          <w:b/>
          <w:bCs/>
          <w:sz w:val="36"/>
          <w:szCs w:val="36"/>
        </w:rPr>
      </w:pPr>
    </w:p>
    <w:p w14:paraId="3363D3CE" w14:textId="77777777" w:rsidR="002F4823" w:rsidRDefault="002F4823" w:rsidP="00D0157B">
      <w:pPr>
        <w:rPr>
          <w:b/>
          <w:bCs/>
          <w:sz w:val="36"/>
          <w:szCs w:val="36"/>
        </w:rPr>
      </w:pPr>
    </w:p>
    <w:p w14:paraId="6C1F33F4" w14:textId="77777777" w:rsidR="002F4823" w:rsidRDefault="002F4823" w:rsidP="00D0157B">
      <w:pPr>
        <w:rPr>
          <w:b/>
          <w:bCs/>
          <w:sz w:val="36"/>
          <w:szCs w:val="36"/>
        </w:rPr>
      </w:pPr>
    </w:p>
    <w:p w14:paraId="510812F9" w14:textId="77777777" w:rsidR="002F4823" w:rsidRDefault="002F4823" w:rsidP="00D0157B">
      <w:pPr>
        <w:rPr>
          <w:b/>
          <w:bCs/>
          <w:sz w:val="36"/>
          <w:szCs w:val="36"/>
        </w:rPr>
      </w:pPr>
    </w:p>
    <w:p w14:paraId="74B7108A" w14:textId="77777777" w:rsidR="002F4823" w:rsidRDefault="002F4823" w:rsidP="00D0157B">
      <w:pPr>
        <w:rPr>
          <w:b/>
          <w:bCs/>
          <w:sz w:val="36"/>
          <w:szCs w:val="36"/>
        </w:rPr>
      </w:pPr>
    </w:p>
    <w:p w14:paraId="3192D0F5" w14:textId="77777777" w:rsidR="002F4823" w:rsidRDefault="002F4823" w:rsidP="00D0157B">
      <w:pPr>
        <w:rPr>
          <w:b/>
          <w:bCs/>
          <w:sz w:val="36"/>
          <w:szCs w:val="36"/>
        </w:rPr>
      </w:pPr>
    </w:p>
    <w:p w14:paraId="5223BCA7" w14:textId="6FDACAAE" w:rsidR="0006577C" w:rsidRPr="00DF2413" w:rsidRDefault="0006577C" w:rsidP="00DF2413">
      <w:pPr>
        <w:pStyle w:val="Heading1"/>
        <w:rPr>
          <w:b/>
          <w:bCs/>
          <w:color w:val="156082" w:themeColor="accent1"/>
          <w:sz w:val="48"/>
          <w:szCs w:val="48"/>
        </w:rPr>
      </w:pPr>
      <w:bookmarkStart w:id="0" w:name="_Toc221613478"/>
      <w:r w:rsidRPr="00DF2413">
        <w:rPr>
          <w:b/>
          <w:bCs/>
          <w:color w:val="156082" w:themeColor="accent1"/>
          <w:sz w:val="48"/>
          <w:szCs w:val="48"/>
        </w:rPr>
        <w:lastRenderedPageBreak/>
        <w:t xml:space="preserve">CANCELLATION </w:t>
      </w:r>
      <w:r w:rsidR="003413AA" w:rsidRPr="00DF2413">
        <w:rPr>
          <w:b/>
          <w:bCs/>
          <w:color w:val="156082" w:themeColor="accent1"/>
          <w:sz w:val="48"/>
          <w:szCs w:val="48"/>
        </w:rPr>
        <w:t xml:space="preserve">&amp; NON-RENEWAL </w:t>
      </w:r>
      <w:r w:rsidRPr="00DF2413">
        <w:rPr>
          <w:b/>
          <w:bCs/>
          <w:color w:val="156082" w:themeColor="accent1"/>
          <w:sz w:val="48"/>
          <w:szCs w:val="48"/>
        </w:rPr>
        <w:t>LAWS</w:t>
      </w:r>
      <w:bookmarkEnd w:id="0"/>
      <w:r w:rsidR="003413AA" w:rsidRPr="00DF2413">
        <w:rPr>
          <w:b/>
          <w:bCs/>
          <w:color w:val="156082" w:themeColor="accent1"/>
          <w:sz w:val="48"/>
          <w:szCs w:val="48"/>
        </w:rPr>
        <w:t xml:space="preserve"> </w:t>
      </w:r>
    </w:p>
    <w:p w14:paraId="0E22E20B" w14:textId="186DDC1A" w:rsidR="0006577C" w:rsidRPr="00537143" w:rsidRDefault="0006577C" w:rsidP="00DF2413">
      <w:pPr>
        <w:pStyle w:val="Heading2"/>
        <w:rPr>
          <w:b/>
          <w:bCs/>
          <w:color w:val="E97132" w:themeColor="accent2"/>
          <w:sz w:val="36"/>
          <w:szCs w:val="36"/>
        </w:rPr>
      </w:pPr>
      <w:bookmarkStart w:id="1" w:name="_Toc221613479"/>
      <w:r w:rsidRPr="00537143">
        <w:rPr>
          <w:b/>
          <w:bCs/>
          <w:color w:val="E97132" w:themeColor="accent2"/>
          <w:sz w:val="36"/>
          <w:szCs w:val="36"/>
        </w:rPr>
        <w:t>Personal Auto</w:t>
      </w:r>
      <w:bookmarkEnd w:id="1"/>
      <w:r w:rsidRPr="00537143">
        <w:rPr>
          <w:b/>
          <w:bCs/>
          <w:color w:val="E97132" w:themeColor="accent2"/>
          <w:sz w:val="36"/>
          <w:szCs w:val="36"/>
        </w:rPr>
        <w:t xml:space="preserve"> </w:t>
      </w:r>
    </w:p>
    <w:p w14:paraId="4DA7FE37" w14:textId="24897C2E" w:rsidR="0006577C" w:rsidRPr="00CC7F2C" w:rsidRDefault="0006577C" w:rsidP="00D0157B">
      <w:pPr>
        <w:rPr>
          <w:b/>
          <w:bCs/>
        </w:rPr>
      </w:pPr>
      <w:r w:rsidRPr="00CC7F2C">
        <w:rPr>
          <w:b/>
          <w:bCs/>
        </w:rPr>
        <w:t>Insufficient Grounds for Cancellation (</w:t>
      </w:r>
      <w:hyperlink r:id="rId8" w:history="1">
        <w:r w:rsidRPr="00CC7F2C">
          <w:rPr>
            <w:rStyle w:val="Hyperlink"/>
            <w:b/>
            <w:bCs/>
          </w:rPr>
          <w:t>RSA 417-A:3</w:t>
        </w:r>
      </w:hyperlink>
      <w:r w:rsidRPr="00CC7F2C">
        <w:rPr>
          <w:b/>
          <w:bCs/>
        </w:rPr>
        <w:t>)</w:t>
      </w:r>
    </w:p>
    <w:p w14:paraId="4F0348D3" w14:textId="1483B2FD" w:rsidR="0006577C" w:rsidRDefault="0006577C" w:rsidP="00D0157B">
      <w:pPr>
        <w:pStyle w:val="ListParagraph"/>
        <w:numPr>
          <w:ilvl w:val="0"/>
          <w:numId w:val="1"/>
        </w:numPr>
      </w:pPr>
      <w:r>
        <w:t>Outlines specific criteria which cannot be considered when refusing to write/renew or cancel a personal auto policy</w:t>
      </w:r>
    </w:p>
    <w:p w14:paraId="59E6281A" w14:textId="1C26CB2C" w:rsidR="00CF0076" w:rsidRPr="00CC7F2C" w:rsidRDefault="0006577C" w:rsidP="00D0157B">
      <w:pPr>
        <w:rPr>
          <w:b/>
          <w:bCs/>
        </w:rPr>
      </w:pPr>
      <w:r w:rsidRPr="00CC7F2C">
        <w:rPr>
          <w:b/>
          <w:bCs/>
        </w:rPr>
        <w:t>Coercion by Insurer - (</w:t>
      </w:r>
      <w:hyperlink r:id="rId9" w:history="1">
        <w:r w:rsidRPr="00CC7F2C">
          <w:rPr>
            <w:rStyle w:val="Hyperlink"/>
            <w:b/>
            <w:bCs/>
          </w:rPr>
          <w:t>RSA 417-A:3-a</w:t>
        </w:r>
      </w:hyperlink>
      <w:r w:rsidRPr="00CC7F2C">
        <w:rPr>
          <w:b/>
          <w:bCs/>
        </w:rPr>
        <w:t>)</w:t>
      </w:r>
      <w:r w:rsidR="0067042A" w:rsidRPr="00CC7F2C">
        <w:rPr>
          <w:b/>
          <w:bCs/>
        </w:rPr>
        <w:t xml:space="preserve"> </w:t>
      </w:r>
    </w:p>
    <w:p w14:paraId="385A861F" w14:textId="24427BBE" w:rsidR="0006577C" w:rsidRDefault="0006577C" w:rsidP="00D0157B">
      <w:pPr>
        <w:pStyle w:val="ListParagraph"/>
        <w:numPr>
          <w:ilvl w:val="0"/>
          <w:numId w:val="1"/>
        </w:numPr>
      </w:pPr>
      <w:proofErr w:type="gramStart"/>
      <w:r>
        <w:t>States</w:t>
      </w:r>
      <w:proofErr w:type="gramEnd"/>
      <w:r>
        <w:t xml:space="preserve"> an insurance </w:t>
      </w:r>
      <w:proofErr w:type="gramStart"/>
      <w:r>
        <w:t>carrier</w:t>
      </w:r>
      <w:proofErr w:type="gramEnd"/>
      <w:r>
        <w:t xml:space="preserve"> cannot refuse to write personal auto solely because an insured has no other policies with them</w:t>
      </w:r>
    </w:p>
    <w:p w14:paraId="69C67657" w14:textId="6EEE470A" w:rsidR="0006577C" w:rsidRPr="00CC7F2C" w:rsidRDefault="00CF7CD7" w:rsidP="00D0157B">
      <w:pPr>
        <w:rPr>
          <w:b/>
          <w:bCs/>
        </w:rPr>
      </w:pPr>
      <w:r w:rsidRPr="00CC7F2C">
        <w:rPr>
          <w:b/>
          <w:bCs/>
        </w:rPr>
        <w:t xml:space="preserve">Underwriting </w:t>
      </w:r>
      <w:proofErr w:type="gramStart"/>
      <w:r w:rsidRPr="00CC7F2C">
        <w:rPr>
          <w:b/>
          <w:bCs/>
        </w:rPr>
        <w:t>on the Basis of</w:t>
      </w:r>
      <w:proofErr w:type="gramEnd"/>
      <w:r w:rsidRPr="00CC7F2C">
        <w:rPr>
          <w:b/>
          <w:bCs/>
        </w:rPr>
        <w:t xml:space="preserve"> Credit Information (</w:t>
      </w:r>
      <w:hyperlink r:id="rId10" w:history="1">
        <w:r w:rsidRPr="00CC7F2C">
          <w:rPr>
            <w:rStyle w:val="Hyperlink"/>
            <w:b/>
            <w:bCs/>
          </w:rPr>
          <w:t>RSA 417-A:3-c</w:t>
        </w:r>
      </w:hyperlink>
      <w:r w:rsidRPr="00CC7F2C">
        <w:rPr>
          <w:b/>
          <w:bCs/>
        </w:rPr>
        <w:t>)</w:t>
      </w:r>
    </w:p>
    <w:p w14:paraId="21A6B1A2" w14:textId="18746150" w:rsidR="00CF7CD7" w:rsidRDefault="00CF7CD7" w:rsidP="00D0157B">
      <w:pPr>
        <w:pStyle w:val="ListParagraph"/>
        <w:numPr>
          <w:ilvl w:val="0"/>
          <w:numId w:val="1"/>
        </w:numPr>
      </w:pPr>
      <w:r>
        <w:t>Outlaws refusing to write/renew or cancelling a personal auto policy solely based on an insured’s credit rating, score, or report</w:t>
      </w:r>
    </w:p>
    <w:p w14:paraId="1B257096" w14:textId="58D44000" w:rsidR="00CF7CD7" w:rsidRPr="00CC7F2C" w:rsidRDefault="00CF7CD7" w:rsidP="00D0157B">
      <w:pPr>
        <w:rPr>
          <w:b/>
          <w:bCs/>
        </w:rPr>
      </w:pPr>
      <w:r w:rsidRPr="00CC7F2C">
        <w:rPr>
          <w:b/>
          <w:bCs/>
        </w:rPr>
        <w:t>Grounds for Cancellation (</w:t>
      </w:r>
      <w:hyperlink r:id="rId11" w:history="1">
        <w:r w:rsidRPr="00CC7F2C">
          <w:rPr>
            <w:rStyle w:val="Hyperlink"/>
            <w:b/>
            <w:bCs/>
          </w:rPr>
          <w:t>RSA 417-A:4</w:t>
        </w:r>
      </w:hyperlink>
      <w:r w:rsidRPr="00CC7F2C">
        <w:rPr>
          <w:b/>
          <w:bCs/>
        </w:rPr>
        <w:t>)</w:t>
      </w:r>
    </w:p>
    <w:p w14:paraId="2EE9DF28" w14:textId="6FAD715C" w:rsidR="00CF7CD7" w:rsidRDefault="00CF7CD7" w:rsidP="00D0157B">
      <w:pPr>
        <w:pStyle w:val="ListParagraph"/>
        <w:numPr>
          <w:ilvl w:val="0"/>
          <w:numId w:val="1"/>
        </w:numPr>
      </w:pPr>
      <w:r>
        <w:t>Outlines legal reasons a policy that has been in effect for more than 60 days can be cancelled</w:t>
      </w:r>
    </w:p>
    <w:p w14:paraId="62CD23D1" w14:textId="6692CD25" w:rsidR="00CF7CD7" w:rsidRPr="00CC7F2C" w:rsidRDefault="00CF7CD7" w:rsidP="00D0157B">
      <w:pPr>
        <w:rPr>
          <w:b/>
          <w:bCs/>
        </w:rPr>
      </w:pPr>
      <w:r w:rsidRPr="00CC7F2C">
        <w:rPr>
          <w:b/>
          <w:bCs/>
        </w:rPr>
        <w:t>Cancellation Notice Requirements (</w:t>
      </w:r>
      <w:hyperlink r:id="rId12" w:history="1">
        <w:r w:rsidRPr="00CC7F2C">
          <w:rPr>
            <w:rStyle w:val="Hyperlink"/>
            <w:b/>
            <w:bCs/>
          </w:rPr>
          <w:t>RSA 417-A:5</w:t>
        </w:r>
      </w:hyperlink>
      <w:r w:rsidRPr="00CC7F2C">
        <w:rPr>
          <w:b/>
          <w:bCs/>
        </w:rPr>
        <w:t>)</w:t>
      </w:r>
    </w:p>
    <w:p w14:paraId="32058310" w14:textId="4DD7CAA1" w:rsidR="00CF7CD7" w:rsidRDefault="00CF7CD7" w:rsidP="00D0157B">
      <w:pPr>
        <w:pStyle w:val="ListParagraph"/>
        <w:numPr>
          <w:ilvl w:val="0"/>
          <w:numId w:val="1"/>
        </w:numPr>
      </w:pPr>
      <w:r>
        <w:t>Outlines an insurer’s legal notification requirements when cancelling or non-renewing a policy, including means and method of delivery and number of days’ notice required</w:t>
      </w:r>
    </w:p>
    <w:p w14:paraId="714F4B00" w14:textId="77777777" w:rsidR="00537143" w:rsidRDefault="00537143" w:rsidP="00537143">
      <w:pPr>
        <w:pStyle w:val="ListParagraph"/>
      </w:pPr>
    </w:p>
    <w:p w14:paraId="7F4E01B7" w14:textId="01362CA3" w:rsidR="00BE7EBA" w:rsidRPr="00537143" w:rsidRDefault="009A57D9" w:rsidP="00DF2413">
      <w:pPr>
        <w:pStyle w:val="Heading2"/>
        <w:rPr>
          <w:b/>
          <w:bCs/>
          <w:color w:val="E97132" w:themeColor="accent2"/>
          <w:sz w:val="36"/>
          <w:szCs w:val="36"/>
        </w:rPr>
      </w:pPr>
      <w:bookmarkStart w:id="2" w:name="_Toc221613480"/>
      <w:r w:rsidRPr="00537143">
        <w:rPr>
          <w:b/>
          <w:bCs/>
          <w:color w:val="E97132" w:themeColor="accent2"/>
          <w:sz w:val="36"/>
          <w:szCs w:val="36"/>
        </w:rPr>
        <w:t>All Other Personal Lines</w:t>
      </w:r>
      <w:bookmarkEnd w:id="2"/>
    </w:p>
    <w:p w14:paraId="399DDA4F" w14:textId="124479CF" w:rsidR="00E93DCD" w:rsidRPr="00CC7F2C" w:rsidRDefault="00E93DCD" w:rsidP="00D0157B">
      <w:pPr>
        <w:rPr>
          <w:b/>
          <w:bCs/>
        </w:rPr>
      </w:pPr>
      <w:r w:rsidRPr="00CC7F2C">
        <w:rPr>
          <w:b/>
          <w:bCs/>
        </w:rPr>
        <w:t>Insufficient Grounds for Cancellation (</w:t>
      </w:r>
      <w:hyperlink r:id="rId13" w:history="1">
        <w:r w:rsidRPr="00CC7F2C">
          <w:rPr>
            <w:rStyle w:val="Hyperlink"/>
            <w:b/>
            <w:bCs/>
          </w:rPr>
          <w:t>RSA 417-B:2</w:t>
        </w:r>
      </w:hyperlink>
      <w:r w:rsidRPr="00CC7F2C">
        <w:rPr>
          <w:b/>
          <w:bCs/>
        </w:rPr>
        <w:t>)</w:t>
      </w:r>
    </w:p>
    <w:p w14:paraId="1090CC13" w14:textId="7FD4F889" w:rsidR="00A47803" w:rsidRDefault="00A47803" w:rsidP="00D0157B">
      <w:pPr>
        <w:pStyle w:val="ListParagraph"/>
        <w:numPr>
          <w:ilvl w:val="0"/>
          <w:numId w:val="1"/>
        </w:numPr>
      </w:pPr>
      <w:r>
        <w:t>Outlines specific criteria which cannot be considered when refusing to write, renew, or cancel a</w:t>
      </w:r>
      <w:r w:rsidR="00F40D5F">
        <w:t xml:space="preserve"> personal lines policy</w:t>
      </w:r>
      <w:r w:rsidR="00F570BC">
        <w:t xml:space="preserve"> (other than auto)</w:t>
      </w:r>
    </w:p>
    <w:p w14:paraId="2272AA25" w14:textId="3F1EBB71" w:rsidR="00F40D5F" w:rsidRPr="00CC7F2C" w:rsidRDefault="00F40D5F" w:rsidP="00D0157B">
      <w:pPr>
        <w:rPr>
          <w:b/>
          <w:bCs/>
        </w:rPr>
      </w:pPr>
      <w:r w:rsidRPr="00CC7F2C">
        <w:rPr>
          <w:b/>
          <w:bCs/>
        </w:rPr>
        <w:t xml:space="preserve">Underwriting </w:t>
      </w:r>
      <w:proofErr w:type="gramStart"/>
      <w:r w:rsidRPr="00CC7F2C">
        <w:rPr>
          <w:b/>
          <w:bCs/>
        </w:rPr>
        <w:t>on the Basis of</w:t>
      </w:r>
      <w:proofErr w:type="gramEnd"/>
      <w:r w:rsidRPr="00CC7F2C">
        <w:rPr>
          <w:b/>
          <w:bCs/>
        </w:rPr>
        <w:t xml:space="preserve"> Credit Information (</w:t>
      </w:r>
      <w:hyperlink r:id="rId14" w:history="1">
        <w:r w:rsidRPr="00CC7F2C">
          <w:rPr>
            <w:rStyle w:val="Hyperlink"/>
            <w:b/>
            <w:bCs/>
          </w:rPr>
          <w:t xml:space="preserve">RSA </w:t>
        </w:r>
        <w:r w:rsidR="00A45A1F" w:rsidRPr="00CC7F2C">
          <w:rPr>
            <w:rStyle w:val="Hyperlink"/>
            <w:b/>
            <w:bCs/>
          </w:rPr>
          <w:t>417</w:t>
        </w:r>
        <w:r w:rsidR="00B63AFC" w:rsidRPr="00CC7F2C">
          <w:rPr>
            <w:rStyle w:val="Hyperlink"/>
            <w:b/>
            <w:bCs/>
          </w:rPr>
          <w:t>-</w:t>
        </w:r>
        <w:r w:rsidR="00A45A1F" w:rsidRPr="00CC7F2C">
          <w:rPr>
            <w:rStyle w:val="Hyperlink"/>
            <w:b/>
            <w:bCs/>
          </w:rPr>
          <w:t>B</w:t>
        </w:r>
        <w:r w:rsidRPr="00CC7F2C">
          <w:rPr>
            <w:rStyle w:val="Hyperlink"/>
            <w:b/>
            <w:bCs/>
          </w:rPr>
          <w:t>:</w:t>
        </w:r>
        <w:r w:rsidR="00A45A1F" w:rsidRPr="00CC7F2C">
          <w:rPr>
            <w:rStyle w:val="Hyperlink"/>
            <w:b/>
            <w:bCs/>
          </w:rPr>
          <w:t>2</w:t>
        </w:r>
        <w:r w:rsidRPr="00CC7F2C">
          <w:rPr>
            <w:rStyle w:val="Hyperlink"/>
            <w:b/>
            <w:bCs/>
          </w:rPr>
          <w:t>-</w:t>
        </w:r>
        <w:r w:rsidR="00A45A1F" w:rsidRPr="00CC7F2C">
          <w:rPr>
            <w:rStyle w:val="Hyperlink"/>
            <w:b/>
            <w:bCs/>
          </w:rPr>
          <w:t>a</w:t>
        </w:r>
      </w:hyperlink>
      <w:r w:rsidRPr="00CC7F2C">
        <w:rPr>
          <w:b/>
          <w:bCs/>
        </w:rPr>
        <w:t>)</w:t>
      </w:r>
    </w:p>
    <w:p w14:paraId="23F61A9F" w14:textId="65A866EE" w:rsidR="00F40D5F" w:rsidRDefault="00F40D5F" w:rsidP="00D0157B">
      <w:pPr>
        <w:pStyle w:val="ListParagraph"/>
        <w:numPr>
          <w:ilvl w:val="0"/>
          <w:numId w:val="1"/>
        </w:numPr>
      </w:pPr>
      <w:r>
        <w:t xml:space="preserve">Outlaws refusing to write/renew or cancelling a </w:t>
      </w:r>
      <w:r w:rsidR="00F570BC">
        <w:t>personal lines policy (other than auto)</w:t>
      </w:r>
      <w:r>
        <w:t xml:space="preserve"> solely based on an insured’s credit rating, score, or report</w:t>
      </w:r>
    </w:p>
    <w:p w14:paraId="53EC8B18" w14:textId="2826870E" w:rsidR="00A45A1F" w:rsidRPr="00CC7F2C" w:rsidRDefault="00A45A1F" w:rsidP="00D0157B">
      <w:pPr>
        <w:rPr>
          <w:b/>
          <w:bCs/>
        </w:rPr>
      </w:pPr>
      <w:r w:rsidRPr="00CC7F2C">
        <w:rPr>
          <w:b/>
          <w:bCs/>
        </w:rPr>
        <w:t>Grounds for Cancellation (</w:t>
      </w:r>
      <w:hyperlink r:id="rId15" w:history="1">
        <w:r w:rsidRPr="00CC7F2C">
          <w:rPr>
            <w:rStyle w:val="Hyperlink"/>
            <w:b/>
            <w:bCs/>
          </w:rPr>
          <w:t>RSA 417-</w:t>
        </w:r>
        <w:r w:rsidR="00B63AFC" w:rsidRPr="00CC7F2C">
          <w:rPr>
            <w:rStyle w:val="Hyperlink"/>
            <w:b/>
            <w:bCs/>
          </w:rPr>
          <w:t>B</w:t>
        </w:r>
        <w:r w:rsidRPr="00CC7F2C">
          <w:rPr>
            <w:rStyle w:val="Hyperlink"/>
            <w:b/>
            <w:bCs/>
          </w:rPr>
          <w:t>:</w:t>
        </w:r>
        <w:r w:rsidR="006A1D49" w:rsidRPr="00CC7F2C">
          <w:rPr>
            <w:rStyle w:val="Hyperlink"/>
            <w:b/>
            <w:bCs/>
          </w:rPr>
          <w:t>3</w:t>
        </w:r>
      </w:hyperlink>
      <w:r w:rsidRPr="00CC7F2C">
        <w:rPr>
          <w:b/>
          <w:bCs/>
        </w:rPr>
        <w:t>)</w:t>
      </w:r>
    </w:p>
    <w:p w14:paraId="34A0E81E" w14:textId="44CD780A" w:rsidR="00A45A1F" w:rsidRDefault="00A45A1F" w:rsidP="00D0157B">
      <w:pPr>
        <w:pStyle w:val="ListParagraph"/>
        <w:numPr>
          <w:ilvl w:val="0"/>
          <w:numId w:val="1"/>
        </w:numPr>
      </w:pPr>
      <w:r>
        <w:t xml:space="preserve">Outlines legal reasons a </w:t>
      </w:r>
      <w:r w:rsidR="00B63AFC">
        <w:t xml:space="preserve">personal lines </w:t>
      </w:r>
      <w:r>
        <w:t>policy</w:t>
      </w:r>
      <w:r w:rsidR="00B63AFC">
        <w:t xml:space="preserve"> (other than auto)</w:t>
      </w:r>
      <w:r>
        <w:t xml:space="preserve"> that has been in effect for more than </w:t>
      </w:r>
      <w:r w:rsidR="00B63AFC">
        <w:t>90</w:t>
      </w:r>
      <w:r>
        <w:t xml:space="preserve"> days can be cancelled</w:t>
      </w:r>
    </w:p>
    <w:p w14:paraId="52AE21BA" w14:textId="38A332A4" w:rsidR="006A1D49" w:rsidRPr="00CC7F2C" w:rsidRDefault="006A1D49" w:rsidP="00D0157B">
      <w:pPr>
        <w:rPr>
          <w:b/>
          <w:bCs/>
        </w:rPr>
      </w:pPr>
      <w:r w:rsidRPr="00CC7F2C">
        <w:rPr>
          <w:b/>
          <w:bCs/>
        </w:rPr>
        <w:t>Nonrenewal for Filing a Claim (</w:t>
      </w:r>
      <w:hyperlink r:id="rId16" w:history="1">
        <w:r w:rsidRPr="00CC7F2C">
          <w:rPr>
            <w:rStyle w:val="Hyperlink"/>
            <w:b/>
            <w:bCs/>
          </w:rPr>
          <w:t>RSA 417-B:3-a</w:t>
        </w:r>
      </w:hyperlink>
      <w:r w:rsidRPr="00CC7F2C">
        <w:rPr>
          <w:b/>
          <w:bCs/>
        </w:rPr>
        <w:t>)</w:t>
      </w:r>
    </w:p>
    <w:p w14:paraId="39E1BF10" w14:textId="486AF98A" w:rsidR="006A1D49" w:rsidRDefault="00B551DC" w:rsidP="00D0157B">
      <w:pPr>
        <w:pStyle w:val="ListParagraph"/>
        <w:numPr>
          <w:ilvl w:val="0"/>
          <w:numId w:val="1"/>
        </w:numPr>
      </w:pPr>
      <w:r>
        <w:t>States a homeowner’s carrier cannot non-renew a policy based on an insured having filed one valid claim within the current or prior policy term</w:t>
      </w:r>
    </w:p>
    <w:p w14:paraId="2CD2097E" w14:textId="77777777" w:rsidR="00F63D07" w:rsidRDefault="00F63D07" w:rsidP="00D0157B">
      <w:pPr>
        <w:rPr>
          <w:b/>
          <w:bCs/>
        </w:rPr>
      </w:pPr>
    </w:p>
    <w:p w14:paraId="0CA734DB" w14:textId="76C98A78" w:rsidR="00B551DC" w:rsidRPr="00CC7F2C" w:rsidRDefault="00B67048" w:rsidP="00D0157B">
      <w:pPr>
        <w:rPr>
          <w:b/>
          <w:bCs/>
        </w:rPr>
      </w:pPr>
      <w:r w:rsidRPr="00CC7F2C">
        <w:rPr>
          <w:b/>
          <w:bCs/>
        </w:rPr>
        <w:lastRenderedPageBreak/>
        <w:t>Cancellation Notice Requirements (</w:t>
      </w:r>
      <w:hyperlink r:id="rId17" w:history="1">
        <w:r w:rsidRPr="00CC7F2C">
          <w:rPr>
            <w:rStyle w:val="Hyperlink"/>
            <w:b/>
            <w:bCs/>
          </w:rPr>
          <w:t>RSA 417-B:</w:t>
        </w:r>
        <w:r w:rsidR="00C64932" w:rsidRPr="00CC7F2C">
          <w:rPr>
            <w:rStyle w:val="Hyperlink"/>
            <w:b/>
            <w:bCs/>
          </w:rPr>
          <w:t>4</w:t>
        </w:r>
      </w:hyperlink>
      <w:r w:rsidR="00C64932" w:rsidRPr="00CC7F2C">
        <w:rPr>
          <w:b/>
          <w:bCs/>
        </w:rPr>
        <w:t>)</w:t>
      </w:r>
    </w:p>
    <w:p w14:paraId="69E891FC" w14:textId="5AC389CD" w:rsidR="00C64932" w:rsidRDefault="00C64932" w:rsidP="00D0157B">
      <w:pPr>
        <w:pStyle w:val="ListParagraph"/>
        <w:numPr>
          <w:ilvl w:val="0"/>
          <w:numId w:val="1"/>
        </w:numPr>
      </w:pPr>
      <w:r>
        <w:t xml:space="preserve">Outlines an insurer’s legal notification requirements when cancelling or non-renewing a </w:t>
      </w:r>
      <w:r w:rsidR="002E0A3F">
        <w:t xml:space="preserve">personal lines </w:t>
      </w:r>
      <w:r>
        <w:t>policy, including means and method of delivery and number of days’ notice required</w:t>
      </w:r>
    </w:p>
    <w:p w14:paraId="43E69488" w14:textId="77777777" w:rsidR="00D72C0C" w:rsidRDefault="00D72C0C" w:rsidP="00D0157B">
      <w:pPr>
        <w:rPr>
          <w:b/>
          <w:bCs/>
          <w:i/>
          <w:iCs/>
          <w:sz w:val="28"/>
          <w:szCs w:val="28"/>
        </w:rPr>
      </w:pPr>
    </w:p>
    <w:p w14:paraId="0655E366" w14:textId="3EBF171D" w:rsidR="002E0A3F" w:rsidRPr="00537143" w:rsidRDefault="002E0A3F" w:rsidP="00DF2413">
      <w:pPr>
        <w:pStyle w:val="Heading2"/>
        <w:rPr>
          <w:b/>
          <w:bCs/>
          <w:color w:val="E97132" w:themeColor="accent2"/>
          <w:sz w:val="36"/>
          <w:szCs w:val="36"/>
        </w:rPr>
      </w:pPr>
      <w:bookmarkStart w:id="3" w:name="_Toc221613481"/>
      <w:r w:rsidRPr="00537143">
        <w:rPr>
          <w:b/>
          <w:bCs/>
          <w:color w:val="E97132" w:themeColor="accent2"/>
          <w:sz w:val="36"/>
          <w:szCs w:val="36"/>
        </w:rPr>
        <w:t>Commercial Lines (other than Workers Compensation)</w:t>
      </w:r>
      <w:bookmarkEnd w:id="3"/>
    </w:p>
    <w:p w14:paraId="7042E4E8" w14:textId="56CD02B5" w:rsidR="002E0A3F" w:rsidRPr="00CC7F2C" w:rsidRDefault="002E0A3F" w:rsidP="00D0157B">
      <w:pPr>
        <w:rPr>
          <w:b/>
          <w:bCs/>
        </w:rPr>
      </w:pPr>
      <w:r w:rsidRPr="00CC7F2C">
        <w:rPr>
          <w:b/>
          <w:bCs/>
        </w:rPr>
        <w:t>Grounds for Cancellation (</w:t>
      </w:r>
      <w:hyperlink r:id="rId18" w:history="1">
        <w:r w:rsidRPr="00CC7F2C">
          <w:rPr>
            <w:rStyle w:val="Hyperlink"/>
            <w:b/>
            <w:bCs/>
          </w:rPr>
          <w:t>RSA 417-C:1</w:t>
        </w:r>
      </w:hyperlink>
      <w:r w:rsidRPr="00CC7F2C">
        <w:rPr>
          <w:b/>
          <w:bCs/>
        </w:rPr>
        <w:t>)</w:t>
      </w:r>
    </w:p>
    <w:p w14:paraId="41FC36D0" w14:textId="510A093F" w:rsidR="006E6A63" w:rsidRPr="00470EE6" w:rsidRDefault="006E6A63" w:rsidP="00D0157B">
      <w:pPr>
        <w:pStyle w:val="ListParagraph"/>
        <w:numPr>
          <w:ilvl w:val="0"/>
          <w:numId w:val="1"/>
        </w:numPr>
        <w:rPr>
          <w:b/>
          <w:bCs/>
        </w:rPr>
      </w:pPr>
      <w:r>
        <w:t xml:space="preserve">Outlines </w:t>
      </w:r>
      <w:r w:rsidR="0030679A">
        <w:t>legal reasons a commercial lines policy (other than WC) that has been in effect more than 60 days can be cancelled</w:t>
      </w:r>
    </w:p>
    <w:p w14:paraId="1AA7416F" w14:textId="4AA757E9" w:rsidR="00470EE6" w:rsidRPr="00CC7F2C" w:rsidRDefault="00470EE6" w:rsidP="00D0157B">
      <w:pPr>
        <w:rPr>
          <w:b/>
          <w:bCs/>
        </w:rPr>
      </w:pPr>
      <w:r w:rsidRPr="00CC7F2C">
        <w:rPr>
          <w:b/>
          <w:bCs/>
        </w:rPr>
        <w:t>Notice of Cancellation (</w:t>
      </w:r>
      <w:hyperlink r:id="rId19" w:history="1">
        <w:r w:rsidRPr="00CC7F2C">
          <w:rPr>
            <w:rStyle w:val="Hyperlink"/>
            <w:b/>
            <w:bCs/>
          </w:rPr>
          <w:t>RSA 417-C:2</w:t>
        </w:r>
      </w:hyperlink>
      <w:r w:rsidR="00042736" w:rsidRPr="00CC7F2C">
        <w:rPr>
          <w:b/>
          <w:bCs/>
        </w:rPr>
        <w:t>)</w:t>
      </w:r>
    </w:p>
    <w:p w14:paraId="5F9F0BB4" w14:textId="23474A64" w:rsidR="00042736" w:rsidRDefault="00042736" w:rsidP="00D0157B">
      <w:pPr>
        <w:pStyle w:val="ListParagraph"/>
        <w:numPr>
          <w:ilvl w:val="0"/>
          <w:numId w:val="1"/>
        </w:numPr>
      </w:pPr>
      <w:r>
        <w:t xml:space="preserve">Outlines an insurer’s legal notification requirements when cancelling a </w:t>
      </w:r>
      <w:r w:rsidR="007615B4">
        <w:t xml:space="preserve">commercial </w:t>
      </w:r>
      <w:r>
        <w:t>lines policy</w:t>
      </w:r>
      <w:r w:rsidR="007615B4">
        <w:t xml:space="preserve"> (other than WC)</w:t>
      </w:r>
      <w:r>
        <w:t>, including means and method of delivery and number of days’ notice required</w:t>
      </w:r>
    </w:p>
    <w:p w14:paraId="1CF58758" w14:textId="5CD5A250" w:rsidR="00F40D5F" w:rsidRPr="00CC7F2C" w:rsidRDefault="00042736" w:rsidP="00D0157B">
      <w:pPr>
        <w:rPr>
          <w:b/>
          <w:bCs/>
        </w:rPr>
      </w:pPr>
      <w:r w:rsidRPr="00CC7F2C">
        <w:rPr>
          <w:b/>
          <w:bCs/>
        </w:rPr>
        <w:t xml:space="preserve">Notice of </w:t>
      </w:r>
      <w:proofErr w:type="gramStart"/>
      <w:r w:rsidRPr="00CC7F2C">
        <w:rPr>
          <w:b/>
          <w:bCs/>
        </w:rPr>
        <w:t>Non-Renewal</w:t>
      </w:r>
      <w:proofErr w:type="gramEnd"/>
      <w:r w:rsidRPr="00CC7F2C">
        <w:rPr>
          <w:b/>
          <w:bCs/>
        </w:rPr>
        <w:t xml:space="preserve"> (</w:t>
      </w:r>
      <w:hyperlink r:id="rId20" w:history="1">
        <w:r w:rsidRPr="00CC7F2C">
          <w:rPr>
            <w:rStyle w:val="Hyperlink"/>
            <w:b/>
            <w:bCs/>
          </w:rPr>
          <w:t>RSA 417-C:3</w:t>
        </w:r>
      </w:hyperlink>
      <w:r w:rsidRPr="00CC7F2C">
        <w:rPr>
          <w:b/>
          <w:bCs/>
        </w:rPr>
        <w:t>)</w:t>
      </w:r>
    </w:p>
    <w:p w14:paraId="3D057B12" w14:textId="0FA33777" w:rsidR="002B7FE7" w:rsidRDefault="007615B4" w:rsidP="00D0157B">
      <w:pPr>
        <w:pStyle w:val="ListParagraph"/>
        <w:numPr>
          <w:ilvl w:val="0"/>
          <w:numId w:val="1"/>
        </w:numPr>
      </w:pPr>
      <w:r>
        <w:t>Outlines an insurer’s legal notification requirements when non-renewing a commercial lines policy (other than WC), including means and method of delivery and number of days’ notice require</w:t>
      </w:r>
      <w:r w:rsidR="000F398D">
        <w:t>d</w:t>
      </w:r>
    </w:p>
    <w:p w14:paraId="4F9A8C9F" w14:textId="65A4BFF8" w:rsidR="000F398D" w:rsidRPr="00CC7F2C" w:rsidRDefault="000F398D" w:rsidP="00D0157B">
      <w:pPr>
        <w:rPr>
          <w:b/>
          <w:bCs/>
        </w:rPr>
      </w:pPr>
      <w:r w:rsidRPr="00CC7F2C">
        <w:rPr>
          <w:b/>
          <w:bCs/>
        </w:rPr>
        <w:t>Increase in Renewal Premiums (</w:t>
      </w:r>
      <w:hyperlink r:id="rId21" w:history="1">
        <w:r w:rsidRPr="00CC7F2C">
          <w:rPr>
            <w:rStyle w:val="Hyperlink"/>
            <w:b/>
            <w:bCs/>
          </w:rPr>
          <w:t>RSA 417-C:4</w:t>
        </w:r>
      </w:hyperlink>
      <w:r w:rsidRPr="00CC7F2C">
        <w:rPr>
          <w:b/>
          <w:bCs/>
        </w:rPr>
        <w:t>)</w:t>
      </w:r>
    </w:p>
    <w:p w14:paraId="47A56E1C" w14:textId="635B0106" w:rsidR="0072592A" w:rsidRDefault="00E06AB7" w:rsidP="00D0157B">
      <w:pPr>
        <w:pStyle w:val="ListParagraph"/>
        <w:numPr>
          <w:ilvl w:val="0"/>
          <w:numId w:val="1"/>
        </w:numPr>
      </w:pPr>
      <w:r>
        <w:t xml:space="preserve">Outlines an insurer’s legal notification requirements when the renewal premium of a commercial lines policy (other than WC) </w:t>
      </w:r>
      <w:r w:rsidR="003E2D50">
        <w:t xml:space="preserve">is increasing </w:t>
      </w:r>
      <w:proofErr w:type="gramStart"/>
      <w:r w:rsidR="003E2D50">
        <w:t>in excess of</w:t>
      </w:r>
      <w:proofErr w:type="gramEnd"/>
      <w:r w:rsidR="003E2D50">
        <w:t xml:space="preserve"> 25%</w:t>
      </w:r>
    </w:p>
    <w:p w14:paraId="663F12F9" w14:textId="053A1859" w:rsidR="0072592A" w:rsidRPr="00537143" w:rsidRDefault="0072592A" w:rsidP="00DF2413">
      <w:pPr>
        <w:pStyle w:val="Heading1"/>
        <w:rPr>
          <w:b/>
          <w:bCs/>
        </w:rPr>
      </w:pPr>
      <w:bookmarkStart w:id="4" w:name="_Toc221613482"/>
      <w:proofErr w:type="gramStart"/>
      <w:r w:rsidRPr="00537143">
        <w:rPr>
          <w:b/>
          <w:bCs/>
          <w:color w:val="E97132" w:themeColor="accent2"/>
        </w:rPr>
        <w:t>Workers</w:t>
      </w:r>
      <w:proofErr w:type="gramEnd"/>
      <w:r w:rsidRPr="00537143">
        <w:rPr>
          <w:b/>
          <w:bCs/>
          <w:color w:val="E97132" w:themeColor="accent2"/>
        </w:rPr>
        <w:t xml:space="preserve"> Compensation</w:t>
      </w:r>
      <w:bookmarkEnd w:id="4"/>
    </w:p>
    <w:p w14:paraId="36AAFB1D" w14:textId="48F2E4C4" w:rsidR="0072592A" w:rsidRPr="00CC7F2C" w:rsidRDefault="00F36F53" w:rsidP="00D0157B">
      <w:pPr>
        <w:rPr>
          <w:b/>
          <w:bCs/>
        </w:rPr>
      </w:pPr>
      <w:r w:rsidRPr="00CC7F2C">
        <w:rPr>
          <w:b/>
          <w:bCs/>
        </w:rPr>
        <w:t>Termination Notices (</w:t>
      </w:r>
      <w:hyperlink r:id="rId22" w:history="1">
        <w:r w:rsidRPr="00CC7F2C">
          <w:rPr>
            <w:rStyle w:val="Hyperlink"/>
            <w:b/>
            <w:bCs/>
          </w:rPr>
          <w:t>RSA 281-A:9</w:t>
        </w:r>
      </w:hyperlink>
      <w:r w:rsidRPr="00CC7F2C">
        <w:rPr>
          <w:b/>
          <w:bCs/>
        </w:rPr>
        <w:t>)</w:t>
      </w:r>
    </w:p>
    <w:p w14:paraId="2DA317C5" w14:textId="414FB3E1" w:rsidR="00F36F53" w:rsidRDefault="00F36F53" w:rsidP="00D0157B">
      <w:pPr>
        <w:pStyle w:val="ListParagraph"/>
        <w:numPr>
          <w:ilvl w:val="0"/>
          <w:numId w:val="1"/>
        </w:numPr>
      </w:pPr>
      <w:r>
        <w:t>Outlines an insurer’s legal notification requirements when a workers compensation policy is being canceled</w:t>
      </w:r>
      <w:r w:rsidR="008222CF">
        <w:t xml:space="preserve"> for any reason, including number of days’ notice required</w:t>
      </w:r>
    </w:p>
    <w:p w14:paraId="6CD19E9B" w14:textId="686E5EAF" w:rsidR="0046493B" w:rsidRPr="00F63D07" w:rsidRDefault="0046493B" w:rsidP="00DF2413">
      <w:pPr>
        <w:pStyle w:val="Heading1"/>
        <w:rPr>
          <w:b/>
          <w:bCs/>
          <w:color w:val="156082" w:themeColor="accent1"/>
          <w:sz w:val="48"/>
          <w:szCs w:val="48"/>
        </w:rPr>
      </w:pPr>
      <w:bookmarkStart w:id="5" w:name="_Toc221613483"/>
      <w:r w:rsidRPr="00F63D07">
        <w:rPr>
          <w:b/>
          <w:bCs/>
          <w:color w:val="156082" w:themeColor="accent1"/>
          <w:sz w:val="48"/>
          <w:szCs w:val="48"/>
        </w:rPr>
        <w:t>CLAIMS LAWS</w:t>
      </w:r>
      <w:bookmarkEnd w:id="5"/>
    </w:p>
    <w:p w14:paraId="37684918" w14:textId="1438CC87" w:rsidR="0046493B" w:rsidRPr="00CC7F2C" w:rsidRDefault="00E76BA4" w:rsidP="00D0157B">
      <w:pPr>
        <w:rPr>
          <w:b/>
          <w:bCs/>
        </w:rPr>
      </w:pPr>
      <w:r w:rsidRPr="00CC7F2C">
        <w:rPr>
          <w:b/>
          <w:bCs/>
        </w:rPr>
        <w:t xml:space="preserve">Unfair Claims Settlement </w:t>
      </w:r>
      <w:r w:rsidR="00994B9D" w:rsidRPr="00CC7F2C">
        <w:rPr>
          <w:b/>
          <w:bCs/>
        </w:rPr>
        <w:t>Practices (</w:t>
      </w:r>
      <w:hyperlink r:id="rId23" w:history="1">
        <w:r w:rsidR="00994B9D" w:rsidRPr="00CC7F2C">
          <w:rPr>
            <w:rStyle w:val="Hyperlink"/>
            <w:b/>
            <w:bCs/>
          </w:rPr>
          <w:t xml:space="preserve">RSA 417:4, </w:t>
        </w:r>
        <w:r w:rsidR="001F5174" w:rsidRPr="00CC7F2C">
          <w:rPr>
            <w:rStyle w:val="Hyperlink"/>
            <w:b/>
            <w:bCs/>
          </w:rPr>
          <w:t>Section XV</w:t>
        </w:r>
      </w:hyperlink>
      <w:r w:rsidR="001F5174" w:rsidRPr="00CC7F2C">
        <w:rPr>
          <w:b/>
          <w:bCs/>
        </w:rPr>
        <w:t>)</w:t>
      </w:r>
    </w:p>
    <w:p w14:paraId="223ABE15" w14:textId="29EF25FF" w:rsidR="00C27CEE" w:rsidRPr="00CC7F2C" w:rsidRDefault="00AD1CF3" w:rsidP="00D0157B">
      <w:pPr>
        <w:rPr>
          <w:b/>
          <w:bCs/>
        </w:rPr>
      </w:pPr>
      <w:r w:rsidRPr="00CC7F2C">
        <w:rPr>
          <w:b/>
          <w:bCs/>
        </w:rPr>
        <w:t>Property &amp; Casualty Claims Rules (</w:t>
      </w:r>
      <w:hyperlink r:id="rId24" w:history="1">
        <w:r w:rsidRPr="00CC7F2C">
          <w:rPr>
            <w:rStyle w:val="Hyperlink"/>
            <w:b/>
            <w:bCs/>
          </w:rPr>
          <w:t>NH INS Part 1002</w:t>
        </w:r>
      </w:hyperlink>
      <w:r w:rsidRPr="00CC7F2C">
        <w:rPr>
          <w:b/>
          <w:bCs/>
        </w:rPr>
        <w:t>)</w:t>
      </w:r>
    </w:p>
    <w:p w14:paraId="44DBCD20" w14:textId="6FFF1AFC" w:rsidR="002D73FC" w:rsidRDefault="00AD1CF3" w:rsidP="00D0157B">
      <w:pPr>
        <w:pStyle w:val="ListParagraph"/>
        <w:numPr>
          <w:ilvl w:val="0"/>
          <w:numId w:val="1"/>
        </w:numPr>
      </w:pPr>
      <w:r>
        <w:t xml:space="preserve">Outlines </w:t>
      </w:r>
      <w:r w:rsidR="0042344E">
        <w:t xml:space="preserve">all claim settlement rules, including communication </w:t>
      </w:r>
      <w:r w:rsidR="00CA161F">
        <w:t>requirements, settlements requirements, valuation requirements, payment requirements, and time limits for communication &amp; claims settlement</w:t>
      </w:r>
    </w:p>
    <w:p w14:paraId="2C4FAF05" w14:textId="26694F97" w:rsidR="00B4761B" w:rsidRPr="00CC7F2C" w:rsidRDefault="00B4761B" w:rsidP="00D0157B">
      <w:pPr>
        <w:rPr>
          <w:b/>
          <w:bCs/>
        </w:rPr>
      </w:pPr>
      <w:r w:rsidRPr="00CC7F2C">
        <w:rPr>
          <w:b/>
          <w:bCs/>
        </w:rPr>
        <w:lastRenderedPageBreak/>
        <w:t>Use of After</w:t>
      </w:r>
      <w:r w:rsidR="004E7E15" w:rsidRPr="00CC7F2C">
        <w:rPr>
          <w:b/>
          <w:bCs/>
        </w:rPr>
        <w:t xml:space="preserve"> M</w:t>
      </w:r>
      <w:r w:rsidRPr="00CC7F2C">
        <w:rPr>
          <w:b/>
          <w:bCs/>
        </w:rPr>
        <w:t>arket Auto Parts</w:t>
      </w:r>
      <w:r w:rsidR="000E4009" w:rsidRPr="00CC7F2C">
        <w:rPr>
          <w:b/>
          <w:bCs/>
        </w:rPr>
        <w:t xml:space="preserve"> (</w:t>
      </w:r>
      <w:hyperlink r:id="rId25" w:history="1">
        <w:r w:rsidR="000E4009" w:rsidRPr="00CC7F2C">
          <w:rPr>
            <w:rStyle w:val="Hyperlink"/>
            <w:b/>
            <w:bCs/>
          </w:rPr>
          <w:t>RSA 407-D</w:t>
        </w:r>
      </w:hyperlink>
      <w:r w:rsidR="000E4009" w:rsidRPr="00CC7F2C">
        <w:rPr>
          <w:b/>
          <w:bCs/>
        </w:rPr>
        <w:t>)</w:t>
      </w:r>
    </w:p>
    <w:p w14:paraId="773F2EC1" w14:textId="59836F37" w:rsidR="006F3E9F" w:rsidRDefault="000E4009" w:rsidP="00D0157B">
      <w:pPr>
        <w:pStyle w:val="ListParagraph"/>
        <w:numPr>
          <w:ilvl w:val="0"/>
          <w:numId w:val="1"/>
        </w:numPr>
      </w:pPr>
      <w:r>
        <w:t>Outlines require</w:t>
      </w:r>
      <w:r w:rsidR="004E7E15">
        <w:t xml:space="preserve">ment for the use of </w:t>
      </w:r>
      <w:proofErr w:type="spellStart"/>
      <w:r w:rsidR="004E7E15">
        <w:t>after market</w:t>
      </w:r>
      <w:proofErr w:type="spellEnd"/>
      <w:r w:rsidR="004E7E15">
        <w:t xml:space="preserve"> parts when settling auto claims</w:t>
      </w:r>
      <w:r w:rsidR="006F3E9F">
        <w:t>, including:</w:t>
      </w:r>
    </w:p>
    <w:p w14:paraId="36BF2C57" w14:textId="4CAD3EDB" w:rsidR="006F3E9F" w:rsidRDefault="006F3E9F" w:rsidP="00D0157B">
      <w:pPr>
        <w:pStyle w:val="ListParagraph"/>
        <w:numPr>
          <w:ilvl w:val="1"/>
          <w:numId w:val="1"/>
        </w:numPr>
      </w:pPr>
      <w:r>
        <w:t>Use of like kind/quality parts (</w:t>
      </w:r>
      <w:hyperlink r:id="rId26" w:history="1">
        <w:r w:rsidRPr="008C7A64">
          <w:rPr>
            <w:rStyle w:val="Hyperlink"/>
          </w:rPr>
          <w:t>RSA 407-D:3</w:t>
        </w:r>
      </w:hyperlink>
      <w:r>
        <w:t>)</w:t>
      </w:r>
    </w:p>
    <w:p w14:paraId="5A39D88E" w14:textId="7243E851" w:rsidR="006F3E9F" w:rsidRDefault="001B723A" w:rsidP="00D0157B">
      <w:pPr>
        <w:pStyle w:val="ListParagraph"/>
        <w:numPr>
          <w:ilvl w:val="1"/>
          <w:numId w:val="1"/>
        </w:numPr>
      </w:pPr>
      <w:r>
        <w:t xml:space="preserve">Mandating Original </w:t>
      </w:r>
      <w:r w:rsidR="00FD5272">
        <w:t xml:space="preserve">Equipment Manufacturer parts be used on vehicles less than 2 years </w:t>
      </w:r>
      <w:r w:rsidR="000E2A5C">
        <w:t>old OR fewer than 30,000 miles (</w:t>
      </w:r>
      <w:hyperlink r:id="rId27" w:history="1">
        <w:r w:rsidR="000E2A5C" w:rsidRPr="008C7A64">
          <w:rPr>
            <w:rStyle w:val="Hyperlink"/>
          </w:rPr>
          <w:t>RSA 407-D:3-a</w:t>
        </w:r>
      </w:hyperlink>
      <w:r w:rsidR="000E2A5C">
        <w:t>)</w:t>
      </w:r>
    </w:p>
    <w:p w14:paraId="6E883081" w14:textId="5ED285DE" w:rsidR="000E2A5C" w:rsidRDefault="00EA6CE1" w:rsidP="00D0157B">
      <w:pPr>
        <w:pStyle w:val="ListParagraph"/>
        <w:numPr>
          <w:ilvl w:val="1"/>
          <w:numId w:val="1"/>
        </w:numPr>
      </w:pPr>
      <w:r>
        <w:t xml:space="preserve">Use of </w:t>
      </w:r>
      <w:proofErr w:type="spellStart"/>
      <w:r>
        <w:t>after market</w:t>
      </w:r>
      <w:proofErr w:type="spellEnd"/>
      <w:r>
        <w:t xml:space="preserve"> parts disclosure requirement (</w:t>
      </w:r>
      <w:hyperlink r:id="rId28" w:history="1">
        <w:r w:rsidRPr="00EA6CE1">
          <w:rPr>
            <w:rStyle w:val="Hyperlink"/>
          </w:rPr>
          <w:t>RSA 407-D:4</w:t>
        </w:r>
      </w:hyperlink>
      <w:r>
        <w:t>)</w:t>
      </w:r>
    </w:p>
    <w:p w14:paraId="2675BC5E" w14:textId="77777777" w:rsidR="007416B5" w:rsidRDefault="007416B5" w:rsidP="00D0157B"/>
    <w:p w14:paraId="6C47FF9F" w14:textId="6E728698" w:rsidR="007416B5" w:rsidRPr="00F63D07" w:rsidRDefault="007416B5" w:rsidP="00DF2413">
      <w:pPr>
        <w:pStyle w:val="Heading1"/>
        <w:rPr>
          <w:b/>
          <w:bCs/>
          <w:color w:val="156082" w:themeColor="accent1"/>
          <w:sz w:val="48"/>
          <w:szCs w:val="48"/>
        </w:rPr>
      </w:pPr>
      <w:bookmarkStart w:id="6" w:name="_Toc221613484"/>
      <w:r w:rsidRPr="00F63D07">
        <w:rPr>
          <w:b/>
          <w:bCs/>
          <w:color w:val="156082" w:themeColor="accent1"/>
          <w:sz w:val="48"/>
          <w:szCs w:val="48"/>
        </w:rPr>
        <w:t>PRODUCER LICENSING</w:t>
      </w:r>
      <w:r w:rsidR="004E3DFE" w:rsidRPr="00F63D07">
        <w:rPr>
          <w:b/>
          <w:bCs/>
          <w:color w:val="156082" w:themeColor="accent1"/>
          <w:sz w:val="48"/>
          <w:szCs w:val="48"/>
        </w:rPr>
        <w:t xml:space="preserve"> &amp; CONTINUING EDUCATION</w:t>
      </w:r>
      <w:bookmarkEnd w:id="6"/>
    </w:p>
    <w:p w14:paraId="0129E250" w14:textId="5CF4CCB3" w:rsidR="00A50C3D" w:rsidRPr="00CC7F2C" w:rsidRDefault="00CC7F2C" w:rsidP="00D0157B">
      <w:pPr>
        <w:rPr>
          <w:b/>
          <w:bCs/>
        </w:rPr>
      </w:pPr>
      <w:r>
        <w:rPr>
          <w:b/>
          <w:bCs/>
        </w:rPr>
        <w:t>All Producer Lice</w:t>
      </w:r>
      <w:r w:rsidR="00D0157B">
        <w:rPr>
          <w:b/>
          <w:bCs/>
        </w:rPr>
        <w:t>nsing Laws (</w:t>
      </w:r>
      <w:hyperlink r:id="rId29" w:history="1">
        <w:r w:rsidR="00A50C3D" w:rsidRPr="00CC7F2C">
          <w:rPr>
            <w:rStyle w:val="Hyperlink"/>
            <w:b/>
            <w:bCs/>
          </w:rPr>
          <w:t>Chapter 402-J: Producer Licensing</w:t>
        </w:r>
      </w:hyperlink>
      <w:r w:rsidR="00D0157B">
        <w:rPr>
          <w:b/>
          <w:bCs/>
        </w:rPr>
        <w:t>)</w:t>
      </w:r>
    </w:p>
    <w:p w14:paraId="5E52A743" w14:textId="2336BD08" w:rsidR="007416B5" w:rsidRPr="00CC7F2C" w:rsidRDefault="001F6E13" w:rsidP="00D0157B">
      <w:pPr>
        <w:rPr>
          <w:b/>
          <w:bCs/>
        </w:rPr>
      </w:pPr>
      <w:r w:rsidRPr="00CC7F2C">
        <w:rPr>
          <w:b/>
          <w:bCs/>
        </w:rPr>
        <w:t>Activities that Require a License (</w:t>
      </w:r>
      <w:hyperlink r:id="rId30" w:history="1">
        <w:r w:rsidRPr="00CC7F2C">
          <w:rPr>
            <w:rStyle w:val="Hyperlink"/>
            <w:b/>
            <w:bCs/>
          </w:rPr>
          <w:t>RSA 402-J</w:t>
        </w:r>
        <w:r w:rsidR="00991C84" w:rsidRPr="00CC7F2C">
          <w:rPr>
            <w:rStyle w:val="Hyperlink"/>
            <w:b/>
            <w:bCs/>
          </w:rPr>
          <w:t>:3</w:t>
        </w:r>
      </w:hyperlink>
      <w:r w:rsidR="00991C84" w:rsidRPr="00CC7F2C">
        <w:rPr>
          <w:b/>
          <w:bCs/>
        </w:rPr>
        <w:t>)</w:t>
      </w:r>
    </w:p>
    <w:p w14:paraId="11FA5CD9" w14:textId="3124862A" w:rsidR="00EF202B" w:rsidRPr="00CC7F2C" w:rsidRDefault="00991C84" w:rsidP="00D0157B">
      <w:pPr>
        <w:rPr>
          <w:b/>
          <w:bCs/>
        </w:rPr>
      </w:pPr>
      <w:r w:rsidRPr="00CC7F2C">
        <w:rPr>
          <w:b/>
          <w:bCs/>
        </w:rPr>
        <w:t>Continuing Education Requirements (</w:t>
      </w:r>
      <w:hyperlink r:id="rId31" w:history="1">
        <w:r w:rsidRPr="00CC7F2C">
          <w:rPr>
            <w:rStyle w:val="Hyperlink"/>
            <w:b/>
            <w:bCs/>
          </w:rPr>
          <w:t>RSA 402-J:</w:t>
        </w:r>
        <w:r w:rsidR="00EA16F6" w:rsidRPr="00CC7F2C">
          <w:rPr>
            <w:rStyle w:val="Hyperlink"/>
            <w:b/>
            <w:bCs/>
          </w:rPr>
          <w:t>7-a</w:t>
        </w:r>
      </w:hyperlink>
      <w:r w:rsidR="00EA16F6" w:rsidRPr="00CC7F2C">
        <w:rPr>
          <w:b/>
          <w:bCs/>
        </w:rPr>
        <w:t xml:space="preserve"> &amp; </w:t>
      </w:r>
      <w:hyperlink r:id="rId32" w:history="1">
        <w:r w:rsidR="006C5381" w:rsidRPr="00CC7F2C">
          <w:rPr>
            <w:rStyle w:val="Hyperlink"/>
            <w:b/>
            <w:bCs/>
          </w:rPr>
          <w:t>NH INS 1302.03</w:t>
        </w:r>
      </w:hyperlink>
      <w:r w:rsidR="006C5381" w:rsidRPr="00CC7F2C">
        <w:rPr>
          <w:b/>
          <w:bCs/>
        </w:rPr>
        <w:t>)</w:t>
      </w:r>
    </w:p>
    <w:p w14:paraId="4F51F56D" w14:textId="2E5E25D4" w:rsidR="004E3DFE" w:rsidRPr="00CC7F2C" w:rsidRDefault="004E3DFE" w:rsidP="00D0157B">
      <w:pPr>
        <w:rPr>
          <w:b/>
          <w:bCs/>
        </w:rPr>
      </w:pPr>
      <w:r w:rsidRPr="00CC7F2C">
        <w:rPr>
          <w:b/>
          <w:bCs/>
        </w:rPr>
        <w:t xml:space="preserve">One-Time Flood </w:t>
      </w:r>
      <w:r w:rsidR="00E920F0" w:rsidRPr="00CC7F2C">
        <w:rPr>
          <w:b/>
          <w:bCs/>
        </w:rPr>
        <w:t>Course Requirement (</w:t>
      </w:r>
      <w:hyperlink r:id="rId33" w:history="1">
        <w:r w:rsidR="00E920F0" w:rsidRPr="00CC7F2C">
          <w:rPr>
            <w:rStyle w:val="Hyperlink"/>
            <w:b/>
            <w:bCs/>
          </w:rPr>
          <w:t>NH INS 1304</w:t>
        </w:r>
      </w:hyperlink>
      <w:r w:rsidR="00E920F0" w:rsidRPr="00CC7F2C">
        <w:rPr>
          <w:b/>
          <w:bCs/>
        </w:rPr>
        <w:t>)</w:t>
      </w:r>
    </w:p>
    <w:p w14:paraId="28DD19CC" w14:textId="6CDE0822" w:rsidR="002D7574" w:rsidRPr="00F63D07" w:rsidRDefault="002D7574" w:rsidP="00DF2413">
      <w:pPr>
        <w:pStyle w:val="Heading1"/>
        <w:rPr>
          <w:b/>
          <w:bCs/>
          <w:color w:val="156082" w:themeColor="accent1"/>
          <w:sz w:val="48"/>
          <w:szCs w:val="48"/>
        </w:rPr>
      </w:pPr>
      <w:bookmarkStart w:id="7" w:name="_Toc221613485"/>
      <w:r w:rsidRPr="00F63D07">
        <w:rPr>
          <w:b/>
          <w:bCs/>
          <w:color w:val="156082" w:themeColor="accent1"/>
          <w:sz w:val="48"/>
          <w:szCs w:val="48"/>
        </w:rPr>
        <w:t>PERSONAL AUTO</w:t>
      </w:r>
      <w:bookmarkEnd w:id="7"/>
    </w:p>
    <w:p w14:paraId="453370EA" w14:textId="632CF913" w:rsidR="002D7574" w:rsidRPr="00D0157B" w:rsidRDefault="002D7574" w:rsidP="00D0157B">
      <w:pPr>
        <w:rPr>
          <w:b/>
          <w:bCs/>
        </w:rPr>
      </w:pPr>
      <w:r w:rsidRPr="00D0157B">
        <w:rPr>
          <w:b/>
          <w:bCs/>
        </w:rPr>
        <w:t>Waiver of Collision Deductible (</w:t>
      </w:r>
      <w:hyperlink r:id="rId34" w:history="1">
        <w:r w:rsidRPr="00D0157B">
          <w:rPr>
            <w:rStyle w:val="Hyperlink"/>
            <w:b/>
            <w:bCs/>
          </w:rPr>
          <w:t>RSA 412:8 – III</w:t>
        </w:r>
      </w:hyperlink>
      <w:r w:rsidRPr="00D0157B">
        <w:rPr>
          <w:b/>
          <w:bCs/>
        </w:rPr>
        <w:t>)</w:t>
      </w:r>
    </w:p>
    <w:p w14:paraId="617F97A0" w14:textId="6CBA1142" w:rsidR="002D7574" w:rsidRPr="00D0157B" w:rsidRDefault="002D7574" w:rsidP="00D0157B">
      <w:pPr>
        <w:rPr>
          <w:b/>
          <w:bCs/>
        </w:rPr>
      </w:pPr>
      <w:r w:rsidRPr="00D0157B">
        <w:rPr>
          <w:b/>
          <w:bCs/>
        </w:rPr>
        <w:t>Personal Auto Uninsured/Underinsured Motorist Coverage Requirement (</w:t>
      </w:r>
      <w:hyperlink r:id="rId35" w:history="1">
        <w:r w:rsidRPr="00D0157B">
          <w:rPr>
            <w:rStyle w:val="Hyperlink"/>
            <w:b/>
            <w:bCs/>
          </w:rPr>
          <w:t>RSA 264:15</w:t>
        </w:r>
      </w:hyperlink>
      <w:r w:rsidRPr="00D0157B">
        <w:rPr>
          <w:b/>
          <w:bCs/>
        </w:rPr>
        <w:t>)</w:t>
      </w:r>
    </w:p>
    <w:p w14:paraId="76E8AE10" w14:textId="126131A9" w:rsidR="002D7574" w:rsidRPr="00D0157B" w:rsidRDefault="002D7574" w:rsidP="00D0157B">
      <w:pPr>
        <w:rPr>
          <w:b/>
          <w:bCs/>
        </w:rPr>
      </w:pPr>
      <w:r w:rsidRPr="00D0157B">
        <w:rPr>
          <w:b/>
          <w:bCs/>
        </w:rPr>
        <w:t>Personal Auto Medical Payments Requirement (</w:t>
      </w:r>
      <w:hyperlink r:id="rId36" w:history="1">
        <w:r w:rsidRPr="00D0157B">
          <w:rPr>
            <w:rStyle w:val="Hyperlink"/>
            <w:b/>
            <w:bCs/>
          </w:rPr>
          <w:t>RSA 264:16</w:t>
        </w:r>
      </w:hyperlink>
      <w:r w:rsidRPr="00D0157B">
        <w:rPr>
          <w:b/>
          <w:bCs/>
        </w:rPr>
        <w:t>)</w:t>
      </w:r>
    </w:p>
    <w:p w14:paraId="576A8CF4" w14:textId="5E566E86" w:rsidR="002D7574" w:rsidRPr="00D0157B" w:rsidRDefault="002D7574" w:rsidP="00D0157B">
      <w:pPr>
        <w:rPr>
          <w:b/>
          <w:bCs/>
        </w:rPr>
      </w:pPr>
      <w:r w:rsidRPr="00D0157B">
        <w:rPr>
          <w:b/>
          <w:bCs/>
        </w:rPr>
        <w:t>“Take All Comers” Law (</w:t>
      </w:r>
      <w:hyperlink r:id="rId37" w:history="1">
        <w:r w:rsidRPr="00D0157B">
          <w:rPr>
            <w:rStyle w:val="Hyperlink"/>
            <w:b/>
            <w:bCs/>
          </w:rPr>
          <w:t>INS 1402 &amp; INS 1403.02 [c]</w:t>
        </w:r>
      </w:hyperlink>
      <w:r w:rsidRPr="00D0157B">
        <w:rPr>
          <w:b/>
          <w:bCs/>
        </w:rPr>
        <w:t>)</w:t>
      </w:r>
    </w:p>
    <w:p w14:paraId="6070D7B5" w14:textId="510DBCFE" w:rsidR="00680422" w:rsidRPr="00F63D07" w:rsidRDefault="00AB7375" w:rsidP="00DF2413">
      <w:pPr>
        <w:pStyle w:val="Heading1"/>
        <w:rPr>
          <w:b/>
          <w:bCs/>
          <w:color w:val="156082" w:themeColor="accent1"/>
          <w:sz w:val="48"/>
          <w:szCs w:val="48"/>
        </w:rPr>
      </w:pPr>
      <w:bookmarkStart w:id="8" w:name="_Toc221613486"/>
      <w:proofErr w:type="gramStart"/>
      <w:r w:rsidRPr="00F63D07">
        <w:rPr>
          <w:b/>
          <w:bCs/>
          <w:color w:val="156082" w:themeColor="accent1"/>
          <w:sz w:val="48"/>
          <w:szCs w:val="48"/>
        </w:rPr>
        <w:t>WORKERS</w:t>
      </w:r>
      <w:proofErr w:type="gramEnd"/>
      <w:r w:rsidRPr="00F63D07">
        <w:rPr>
          <w:b/>
          <w:bCs/>
          <w:color w:val="156082" w:themeColor="accent1"/>
          <w:sz w:val="48"/>
          <w:szCs w:val="48"/>
        </w:rPr>
        <w:t xml:space="preserve"> COMPENSATION</w:t>
      </w:r>
      <w:bookmarkEnd w:id="8"/>
      <w:r w:rsidR="00293392" w:rsidRPr="00F63D07">
        <w:rPr>
          <w:b/>
          <w:bCs/>
          <w:color w:val="156082" w:themeColor="accent1"/>
          <w:sz w:val="48"/>
          <w:szCs w:val="48"/>
        </w:rPr>
        <w:t xml:space="preserve"> </w:t>
      </w:r>
    </w:p>
    <w:p w14:paraId="53D4F244" w14:textId="3021C91F" w:rsidR="00A50C3D" w:rsidRPr="00D0157B" w:rsidRDefault="00D0157B" w:rsidP="00D0157B">
      <w:pPr>
        <w:rPr>
          <w:b/>
          <w:bCs/>
        </w:rPr>
      </w:pPr>
      <w:r>
        <w:rPr>
          <w:b/>
          <w:bCs/>
        </w:rPr>
        <w:t>Most Workers Compensation Laws (</w:t>
      </w:r>
      <w:hyperlink r:id="rId38" w:history="1">
        <w:r w:rsidR="00A50C3D" w:rsidRPr="00D0157B">
          <w:rPr>
            <w:rStyle w:val="Hyperlink"/>
            <w:b/>
            <w:bCs/>
          </w:rPr>
          <w:t>Chapter 281-A: Workers Compensation</w:t>
        </w:r>
      </w:hyperlink>
      <w:r>
        <w:rPr>
          <w:b/>
          <w:bCs/>
        </w:rPr>
        <w:t>)</w:t>
      </w:r>
    </w:p>
    <w:p w14:paraId="5C083184" w14:textId="3DA1FAF7" w:rsidR="00AB7375" w:rsidRPr="00D0157B" w:rsidRDefault="006B53F2" w:rsidP="00D0157B">
      <w:pPr>
        <w:rPr>
          <w:b/>
          <w:bCs/>
        </w:rPr>
      </w:pPr>
      <w:r w:rsidRPr="00D0157B">
        <w:rPr>
          <w:b/>
          <w:bCs/>
        </w:rPr>
        <w:t>Legal Definition of Employee vs Independent Contractor (</w:t>
      </w:r>
      <w:hyperlink r:id="rId39" w:history="1">
        <w:r w:rsidR="008053E4" w:rsidRPr="00D0157B">
          <w:rPr>
            <w:rStyle w:val="Hyperlink"/>
            <w:b/>
            <w:bCs/>
          </w:rPr>
          <w:t>RSA 281-A:2, Section VI</w:t>
        </w:r>
      </w:hyperlink>
      <w:r w:rsidR="00327E71" w:rsidRPr="00D0157B">
        <w:rPr>
          <w:b/>
          <w:bCs/>
        </w:rPr>
        <w:t>)</w:t>
      </w:r>
    </w:p>
    <w:p w14:paraId="417EEFDC" w14:textId="748B0F2F" w:rsidR="004D3819" w:rsidRPr="00D0157B" w:rsidRDefault="004D3819" w:rsidP="00D0157B">
      <w:pPr>
        <w:rPr>
          <w:b/>
          <w:bCs/>
        </w:rPr>
      </w:pPr>
      <w:r w:rsidRPr="00D0157B">
        <w:rPr>
          <w:b/>
          <w:bCs/>
        </w:rPr>
        <w:t>Contractor’s Liability for Subcontractors (</w:t>
      </w:r>
      <w:hyperlink r:id="rId40" w:history="1">
        <w:r w:rsidRPr="00D0157B">
          <w:rPr>
            <w:rStyle w:val="Hyperlink"/>
            <w:b/>
            <w:bCs/>
          </w:rPr>
          <w:t>RSA 281-A:18</w:t>
        </w:r>
      </w:hyperlink>
      <w:r w:rsidRPr="00D0157B">
        <w:rPr>
          <w:b/>
          <w:bCs/>
        </w:rPr>
        <w:t>)</w:t>
      </w:r>
    </w:p>
    <w:p w14:paraId="45605144" w14:textId="2A765378" w:rsidR="003366E9" w:rsidRPr="00D0157B" w:rsidRDefault="003366E9" w:rsidP="00D0157B">
      <w:pPr>
        <w:rPr>
          <w:b/>
          <w:bCs/>
        </w:rPr>
      </w:pPr>
      <w:r w:rsidRPr="00D0157B">
        <w:rPr>
          <w:b/>
          <w:bCs/>
        </w:rPr>
        <w:t>Exclusion of Executive Officers</w:t>
      </w:r>
      <w:r w:rsidR="00AB46B1" w:rsidRPr="00D0157B">
        <w:rPr>
          <w:b/>
          <w:bCs/>
        </w:rPr>
        <w:t>/LLC Members (</w:t>
      </w:r>
      <w:hyperlink r:id="rId41" w:history="1">
        <w:r w:rsidR="00AB46B1" w:rsidRPr="00D0157B">
          <w:rPr>
            <w:rStyle w:val="Hyperlink"/>
            <w:b/>
            <w:bCs/>
          </w:rPr>
          <w:t>RSA 281-A:18-a</w:t>
        </w:r>
      </w:hyperlink>
      <w:r w:rsidR="00AB46B1" w:rsidRPr="00D0157B">
        <w:rPr>
          <w:b/>
          <w:bCs/>
        </w:rPr>
        <w:t>)</w:t>
      </w:r>
    </w:p>
    <w:p w14:paraId="59D48B50" w14:textId="77777777" w:rsidR="007000B3" w:rsidRPr="00D0157B" w:rsidRDefault="007000B3" w:rsidP="00D0157B">
      <w:pPr>
        <w:rPr>
          <w:b/>
          <w:bCs/>
        </w:rPr>
      </w:pPr>
      <w:r w:rsidRPr="00D0157B">
        <w:rPr>
          <w:b/>
          <w:bCs/>
        </w:rPr>
        <w:t>Certificates of Insurance (</w:t>
      </w:r>
      <w:hyperlink r:id="rId42" w:history="1">
        <w:r w:rsidRPr="00D0157B">
          <w:rPr>
            <w:rStyle w:val="Hyperlink"/>
            <w:b/>
            <w:bCs/>
          </w:rPr>
          <w:t>RSA 412:37-a</w:t>
        </w:r>
      </w:hyperlink>
      <w:r w:rsidRPr="00D0157B">
        <w:rPr>
          <w:b/>
          <w:bCs/>
        </w:rPr>
        <w:t>)</w:t>
      </w:r>
    </w:p>
    <w:p w14:paraId="49F1547A" w14:textId="77777777" w:rsidR="007000B3" w:rsidRPr="000D6E18" w:rsidRDefault="007000B3" w:rsidP="00D0157B">
      <w:pPr>
        <w:pStyle w:val="ListParagraph"/>
        <w:numPr>
          <w:ilvl w:val="0"/>
          <w:numId w:val="1"/>
        </w:numPr>
      </w:pPr>
      <w:r>
        <w:t>Outlines information which must be included on certificates of insurance for workers compensation policies</w:t>
      </w:r>
    </w:p>
    <w:p w14:paraId="238EE874" w14:textId="77777777" w:rsidR="00680422" w:rsidRDefault="00680422" w:rsidP="00D0157B">
      <w:pPr>
        <w:rPr>
          <w:i/>
          <w:iCs/>
        </w:rPr>
      </w:pPr>
    </w:p>
    <w:p w14:paraId="5C3B555F" w14:textId="1D29199F" w:rsidR="002D7574" w:rsidRPr="00F63D07" w:rsidRDefault="000D6E18" w:rsidP="00DF2413">
      <w:pPr>
        <w:pStyle w:val="Heading1"/>
        <w:rPr>
          <w:b/>
          <w:bCs/>
          <w:color w:val="156082" w:themeColor="accent1"/>
          <w:sz w:val="48"/>
          <w:szCs w:val="48"/>
        </w:rPr>
      </w:pPr>
      <w:bookmarkStart w:id="9" w:name="_Toc221613487"/>
      <w:r w:rsidRPr="00F63D07">
        <w:rPr>
          <w:b/>
          <w:bCs/>
          <w:color w:val="156082" w:themeColor="accent1"/>
          <w:sz w:val="48"/>
          <w:szCs w:val="48"/>
        </w:rPr>
        <w:lastRenderedPageBreak/>
        <w:t>OTHER RELEVANT LAWS</w:t>
      </w:r>
      <w:bookmarkEnd w:id="9"/>
    </w:p>
    <w:p w14:paraId="194513AF" w14:textId="2A5FC006" w:rsidR="00641CEE" w:rsidRDefault="00641CEE" w:rsidP="00D0157B">
      <w:pPr>
        <w:rPr>
          <w:b/>
          <w:bCs/>
        </w:rPr>
      </w:pPr>
      <w:r>
        <w:rPr>
          <w:b/>
          <w:bCs/>
        </w:rPr>
        <w:t>Surplus Lines “Diligent Effort” Law (</w:t>
      </w:r>
      <w:hyperlink r:id="rId43" w:history="1">
        <w:r w:rsidRPr="00641CEE">
          <w:rPr>
            <w:rStyle w:val="Hyperlink"/>
            <w:b/>
            <w:bCs/>
          </w:rPr>
          <w:t>RSA 405:24</w:t>
        </w:r>
      </w:hyperlink>
      <w:r>
        <w:rPr>
          <w:b/>
          <w:bCs/>
        </w:rPr>
        <w:t>)</w:t>
      </w:r>
    </w:p>
    <w:p w14:paraId="2F129625" w14:textId="3140E461" w:rsidR="00641CEE" w:rsidRPr="00EA4BAA" w:rsidRDefault="00641CEE" w:rsidP="00641CEE">
      <w:pPr>
        <w:pStyle w:val="ListParagraph"/>
        <w:numPr>
          <w:ilvl w:val="0"/>
          <w:numId w:val="1"/>
        </w:numPr>
        <w:rPr>
          <w:b/>
          <w:bCs/>
        </w:rPr>
      </w:pPr>
      <w:r>
        <w:t xml:space="preserve">Outlines </w:t>
      </w:r>
      <w:r w:rsidR="00EA4BAA">
        <w:t>guidelines regarding placing non-admitted business, including:</w:t>
      </w:r>
    </w:p>
    <w:p w14:paraId="359FA491" w14:textId="38CC9C44" w:rsidR="00EA4BAA" w:rsidRPr="00EA4BAA" w:rsidRDefault="00EA4BAA" w:rsidP="00EA4BAA">
      <w:pPr>
        <w:pStyle w:val="ListParagraph"/>
        <w:numPr>
          <w:ilvl w:val="1"/>
          <w:numId w:val="1"/>
        </w:numPr>
        <w:rPr>
          <w:b/>
          <w:bCs/>
        </w:rPr>
      </w:pPr>
      <w:r>
        <w:t>Requirements for insurers looking to enter NH’s non-admitted market</w:t>
      </w:r>
    </w:p>
    <w:p w14:paraId="3067D77D" w14:textId="3BD797C8" w:rsidR="00EA4BAA" w:rsidRPr="00EA4BAA" w:rsidRDefault="00EA4BAA" w:rsidP="00EA4BAA">
      <w:pPr>
        <w:pStyle w:val="ListParagraph"/>
        <w:numPr>
          <w:ilvl w:val="1"/>
          <w:numId w:val="1"/>
        </w:numPr>
        <w:rPr>
          <w:b/>
          <w:bCs/>
        </w:rPr>
      </w:pPr>
      <w:r>
        <w:t>Placement requirements for brokers and agents</w:t>
      </w:r>
    </w:p>
    <w:p w14:paraId="218CD5FD" w14:textId="68C64776" w:rsidR="00EA4BAA" w:rsidRPr="002F4823" w:rsidRDefault="00EA4BAA" w:rsidP="00EA4BAA">
      <w:r w:rsidRPr="002F4823">
        <w:rPr>
          <w:b/>
          <w:bCs/>
        </w:rPr>
        <w:t xml:space="preserve">PLEASE NOTE – </w:t>
      </w:r>
      <w:r w:rsidRPr="002F4823">
        <w:t xml:space="preserve">The portion of this law that is cited as the basis for a “diligent effort” to place policies in the standard market before approaching a surplus market begins in paragraph III </w:t>
      </w:r>
      <w:r w:rsidR="002F4823" w:rsidRPr="002F4823">
        <w:t>and reads as follows:</w:t>
      </w:r>
      <w:r w:rsidR="002F4823">
        <w:rPr>
          <w:i/>
          <w:iCs/>
        </w:rPr>
        <w:t xml:space="preserve"> “</w:t>
      </w:r>
      <w:r w:rsidR="002F4823" w:rsidRPr="002F4823">
        <w:rPr>
          <w:i/>
          <w:iCs/>
        </w:rPr>
        <w:t>Such insurance or suretyship placed with an unadmitted surplus lines company shall be for such amount as the producer cannot place with an admitted company, and shall not be placed until the producer has first</w:t>
      </w:r>
      <w:r w:rsidR="002F4823" w:rsidRPr="002F4823">
        <w:rPr>
          <w:b/>
          <w:bCs/>
          <w:i/>
          <w:iCs/>
        </w:rPr>
        <w:t xml:space="preserve"> satisfied the insurance commissioner that the producer cannot procure such an insurance in an admitted company.</w:t>
      </w:r>
      <w:r w:rsidR="002F4823">
        <w:rPr>
          <w:b/>
          <w:bCs/>
          <w:i/>
          <w:iCs/>
        </w:rPr>
        <w:t xml:space="preserve">” </w:t>
      </w:r>
      <w:r w:rsidR="002F4823">
        <w:t xml:space="preserve"> The law </w:t>
      </w:r>
      <w:r w:rsidR="002F4823" w:rsidRPr="002F4823">
        <w:rPr>
          <w:b/>
          <w:bCs/>
        </w:rPr>
        <w:t>DOES NOT</w:t>
      </w:r>
      <w:r w:rsidR="002F4823">
        <w:t xml:space="preserve"> include the phrase “diligent effort,” nor does it specify the means that would constitute satisfactory evidence of coverage being unavailable in the admitted market.</w:t>
      </w:r>
    </w:p>
    <w:p w14:paraId="47A78974" w14:textId="1FFBC86F" w:rsidR="00D31D32" w:rsidRPr="00D0157B" w:rsidRDefault="000D6E18" w:rsidP="00D0157B">
      <w:pPr>
        <w:rPr>
          <w:b/>
          <w:bCs/>
        </w:rPr>
      </w:pPr>
      <w:r w:rsidRPr="00D0157B">
        <w:rPr>
          <w:b/>
          <w:bCs/>
        </w:rPr>
        <w:t>NH Valued Policy Law (</w:t>
      </w:r>
      <w:hyperlink r:id="rId44" w:history="1">
        <w:r w:rsidR="00797892" w:rsidRPr="00D0157B">
          <w:rPr>
            <w:rStyle w:val="Hyperlink"/>
            <w:b/>
            <w:bCs/>
          </w:rPr>
          <w:t>RSA 407:11</w:t>
        </w:r>
      </w:hyperlink>
      <w:r w:rsidR="00797892" w:rsidRPr="00D0157B">
        <w:rPr>
          <w:b/>
          <w:bCs/>
        </w:rPr>
        <w:t>)</w:t>
      </w:r>
    </w:p>
    <w:p w14:paraId="1B5F003F" w14:textId="155D5B4C" w:rsidR="00CF1E71" w:rsidRPr="00D0157B" w:rsidRDefault="00B01AE0" w:rsidP="00D0157B">
      <w:pPr>
        <w:rPr>
          <w:b/>
          <w:bCs/>
        </w:rPr>
      </w:pPr>
      <w:r w:rsidRPr="00D0157B">
        <w:rPr>
          <w:b/>
          <w:bCs/>
        </w:rPr>
        <w:t>Coercion in Insurance (</w:t>
      </w:r>
      <w:hyperlink r:id="rId45" w:history="1">
        <w:r w:rsidRPr="00D0157B">
          <w:rPr>
            <w:rStyle w:val="Hyperlink"/>
            <w:b/>
            <w:bCs/>
          </w:rPr>
          <w:t>RSA 417</w:t>
        </w:r>
        <w:r w:rsidR="0062183A" w:rsidRPr="00D0157B">
          <w:rPr>
            <w:rStyle w:val="Hyperlink"/>
            <w:b/>
            <w:bCs/>
          </w:rPr>
          <w:t>:4, Section XVII</w:t>
        </w:r>
      </w:hyperlink>
      <w:r w:rsidR="0062183A" w:rsidRPr="00D0157B">
        <w:rPr>
          <w:b/>
          <w:bCs/>
        </w:rPr>
        <w:t>)</w:t>
      </w:r>
    </w:p>
    <w:p w14:paraId="5DB615DD" w14:textId="77777777" w:rsidR="00A678C1" w:rsidRDefault="00445AF3" w:rsidP="00D0157B">
      <w:pPr>
        <w:pStyle w:val="ListParagraph"/>
        <w:numPr>
          <w:ilvl w:val="0"/>
          <w:numId w:val="1"/>
        </w:numPr>
      </w:pPr>
      <w:r>
        <w:t xml:space="preserve">Outlines </w:t>
      </w:r>
      <w:r w:rsidR="00A678C1">
        <w:t>regulations involving creditors/lenders that also sell insurance, including:</w:t>
      </w:r>
    </w:p>
    <w:p w14:paraId="4F19E5E2" w14:textId="740A5594" w:rsidR="00C4443A" w:rsidRDefault="00E412B7" w:rsidP="00D0157B">
      <w:pPr>
        <w:pStyle w:val="ListParagraph"/>
        <w:numPr>
          <w:ilvl w:val="1"/>
          <w:numId w:val="1"/>
        </w:numPr>
      </w:pPr>
      <w:r>
        <w:t xml:space="preserve">Prohibition of requiring </w:t>
      </w:r>
      <w:r w:rsidR="0062183A">
        <w:t>consumers</w:t>
      </w:r>
      <w:r w:rsidR="004E799B">
        <w:t xml:space="preserve"> to purchase insurance from them as a condition of securing financing or </w:t>
      </w:r>
    </w:p>
    <w:p w14:paraId="2A973D84" w14:textId="6C06D8B2" w:rsidR="0062183A" w:rsidRDefault="00E412B7" w:rsidP="00D0157B">
      <w:pPr>
        <w:pStyle w:val="ListParagraph"/>
        <w:numPr>
          <w:ilvl w:val="1"/>
          <w:numId w:val="1"/>
        </w:numPr>
      </w:pPr>
      <w:r>
        <w:t xml:space="preserve">Prohibition of </w:t>
      </w:r>
      <w:r w:rsidR="004E799B">
        <w:t>requir</w:t>
      </w:r>
      <w:r>
        <w:t xml:space="preserve">ing a consumer </w:t>
      </w:r>
      <w:r w:rsidR="004E799B">
        <w:t>to insure a</w:t>
      </w:r>
      <w:r w:rsidR="00445AF3">
        <w:t xml:space="preserve"> building </w:t>
      </w:r>
      <w:proofErr w:type="gramStart"/>
      <w:r w:rsidR="00445AF3">
        <w:t>in excess of</w:t>
      </w:r>
      <w:proofErr w:type="gramEnd"/>
      <w:r w:rsidR="00445AF3">
        <w:t xml:space="preserve"> the actual value of the property</w:t>
      </w:r>
    </w:p>
    <w:p w14:paraId="280AA855" w14:textId="5F575F64" w:rsidR="006F546F" w:rsidRPr="00D0157B" w:rsidRDefault="006F546F" w:rsidP="00D0157B">
      <w:pPr>
        <w:rPr>
          <w:b/>
          <w:bCs/>
        </w:rPr>
      </w:pPr>
      <w:r w:rsidRPr="00D0157B">
        <w:rPr>
          <w:b/>
          <w:bCs/>
        </w:rPr>
        <w:t>Certificates of Insurance – General Provisions (</w:t>
      </w:r>
      <w:hyperlink r:id="rId46" w:history="1">
        <w:r w:rsidRPr="00D0157B">
          <w:rPr>
            <w:rStyle w:val="Hyperlink"/>
            <w:b/>
            <w:bCs/>
          </w:rPr>
          <w:t>RSA 412:6-b</w:t>
        </w:r>
      </w:hyperlink>
      <w:r w:rsidRPr="00D0157B">
        <w:rPr>
          <w:b/>
          <w:bCs/>
        </w:rPr>
        <w:t>)</w:t>
      </w:r>
    </w:p>
    <w:p w14:paraId="57C6E938" w14:textId="36261105" w:rsidR="00E85F99" w:rsidRDefault="00E85F99" w:rsidP="00D0157B">
      <w:pPr>
        <w:pStyle w:val="ListParagraph"/>
        <w:numPr>
          <w:ilvl w:val="0"/>
          <w:numId w:val="1"/>
        </w:numPr>
      </w:pPr>
      <w:r>
        <w:t xml:space="preserve">Outlines information that </w:t>
      </w:r>
      <w:proofErr w:type="gramStart"/>
      <w:r>
        <w:t>can/cannot</w:t>
      </w:r>
      <w:proofErr w:type="gramEnd"/>
      <w:r>
        <w:t xml:space="preserve"> be included on a certificate and other legal guidelines for issuance</w:t>
      </w:r>
    </w:p>
    <w:sectPr w:rsidR="00E85F99">
      <w:headerReference w:type="default" r:id="rId47"/>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8C8C8" w14:textId="77777777" w:rsidR="00DF2413" w:rsidRDefault="00DF2413" w:rsidP="00DF2413">
      <w:pPr>
        <w:spacing w:after="0" w:line="240" w:lineRule="auto"/>
      </w:pPr>
      <w:r>
        <w:separator/>
      </w:r>
    </w:p>
  </w:endnote>
  <w:endnote w:type="continuationSeparator" w:id="0">
    <w:p w14:paraId="4A2DA4B9" w14:textId="77777777" w:rsidR="00DF2413" w:rsidRDefault="00DF2413" w:rsidP="00DF2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CEA1" w14:textId="1A3D8052" w:rsidR="00537143" w:rsidRPr="00537143" w:rsidRDefault="00537143" w:rsidP="00537143">
    <w:pPr>
      <w:pStyle w:val="Footer"/>
      <w:jc w:val="center"/>
      <w:rPr>
        <w:b/>
        <w:bCs/>
        <w:i/>
        <w:iCs/>
        <w:color w:val="E97132" w:themeColor="accent2"/>
        <w:sz w:val="24"/>
        <w:szCs w:val="24"/>
      </w:rPr>
    </w:pPr>
    <w:r w:rsidRPr="00537143">
      <w:rPr>
        <w:b/>
        <w:bCs/>
        <w:i/>
        <w:iCs/>
        <w:color w:val="E97132" w:themeColor="accent2"/>
        <w:sz w:val="24"/>
        <w:szCs w:val="24"/>
      </w:rPr>
      <w:t xml:space="preserve">Questions? Please call our office at (603) 224-3965 or email </w:t>
    </w:r>
    <w:hyperlink r:id="rId1" w:history="1">
      <w:r w:rsidRPr="00537143">
        <w:rPr>
          <w:rStyle w:val="Hyperlink"/>
          <w:b/>
          <w:bCs/>
          <w:i/>
          <w:iCs/>
          <w:sz w:val="24"/>
          <w:szCs w:val="24"/>
        </w:rPr>
        <w:t>info@biginh.c</w:t>
      </w:r>
      <w:r w:rsidRPr="00537143">
        <w:rPr>
          <w:rStyle w:val="Hyperlink"/>
          <w:b/>
          <w:bCs/>
          <w:i/>
          <w:iCs/>
          <w:sz w:val="24"/>
          <w:szCs w:val="24"/>
        </w:rPr>
        <w:t>o</w:t>
      </w:r>
      <w:r w:rsidRPr="00537143">
        <w:rPr>
          <w:rStyle w:val="Hyperlink"/>
          <w:b/>
          <w:bCs/>
          <w:i/>
          <w:iCs/>
          <w:sz w:val="24"/>
          <w:szCs w:val="24"/>
        </w:rPr>
        <w:t>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01FF8" w14:textId="77777777" w:rsidR="00DF2413" w:rsidRDefault="00DF2413" w:rsidP="00DF2413">
      <w:pPr>
        <w:spacing w:after="0" w:line="240" w:lineRule="auto"/>
      </w:pPr>
      <w:r>
        <w:separator/>
      </w:r>
    </w:p>
  </w:footnote>
  <w:footnote w:type="continuationSeparator" w:id="0">
    <w:p w14:paraId="03DA715B" w14:textId="77777777" w:rsidR="00DF2413" w:rsidRDefault="00DF2413" w:rsidP="00DF2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529A" w14:textId="1F9FB918" w:rsidR="00537143" w:rsidRPr="00F63D07" w:rsidRDefault="00F63D07" w:rsidP="00F63D07">
    <w:pPr>
      <w:pStyle w:val="Header"/>
      <w:rPr>
        <w:b/>
        <w:bCs/>
        <w:color w:val="E97132" w:themeColor="accent2"/>
        <w:sz w:val="24"/>
        <w:szCs w:val="24"/>
      </w:rPr>
    </w:pPr>
    <w:r w:rsidRPr="00F63D07">
      <w:rPr>
        <w:b/>
        <w:bCs/>
        <w:color w:val="E97132" w:themeColor="accent2"/>
        <w:sz w:val="24"/>
        <w:szCs w:val="24"/>
      </w:rPr>
      <w:t>BIG I NEW HAMPSHIRE – NH INSURANCE LAW FAQ</w:t>
    </w:r>
    <w:r>
      <w:tab/>
    </w:r>
    <w:sdt>
      <w:sdtPr>
        <w:rPr>
          <w:b/>
          <w:bCs/>
          <w:color w:val="E97132" w:themeColor="accent2"/>
          <w:sz w:val="24"/>
          <w:szCs w:val="24"/>
        </w:rPr>
        <w:id w:val="-1531096407"/>
        <w:docPartObj>
          <w:docPartGallery w:val="Page Numbers (Top of Page)"/>
          <w:docPartUnique/>
        </w:docPartObj>
      </w:sdtPr>
      <w:sdtEndPr>
        <w:rPr>
          <w:noProof/>
        </w:rPr>
      </w:sdtEndPr>
      <w:sdtContent>
        <w:r w:rsidR="00537143" w:rsidRPr="00F63D07">
          <w:rPr>
            <w:b/>
            <w:bCs/>
            <w:color w:val="E97132" w:themeColor="accent2"/>
            <w:sz w:val="24"/>
            <w:szCs w:val="24"/>
          </w:rPr>
          <w:fldChar w:fldCharType="begin"/>
        </w:r>
        <w:r w:rsidR="00537143" w:rsidRPr="00F63D07">
          <w:rPr>
            <w:b/>
            <w:bCs/>
            <w:color w:val="E97132" w:themeColor="accent2"/>
            <w:sz w:val="24"/>
            <w:szCs w:val="24"/>
          </w:rPr>
          <w:instrText xml:space="preserve"> PAGE   \* MERGEFORMAT </w:instrText>
        </w:r>
        <w:r w:rsidR="00537143" w:rsidRPr="00F63D07">
          <w:rPr>
            <w:b/>
            <w:bCs/>
            <w:color w:val="E97132" w:themeColor="accent2"/>
            <w:sz w:val="24"/>
            <w:szCs w:val="24"/>
          </w:rPr>
          <w:fldChar w:fldCharType="separate"/>
        </w:r>
        <w:r w:rsidR="00537143" w:rsidRPr="00F63D07">
          <w:rPr>
            <w:b/>
            <w:bCs/>
            <w:noProof/>
            <w:color w:val="E97132" w:themeColor="accent2"/>
            <w:sz w:val="24"/>
            <w:szCs w:val="24"/>
          </w:rPr>
          <w:t>2</w:t>
        </w:r>
        <w:r w:rsidR="00537143" w:rsidRPr="00F63D07">
          <w:rPr>
            <w:b/>
            <w:bCs/>
            <w:noProof/>
            <w:color w:val="E97132" w:themeColor="accent2"/>
            <w:sz w:val="24"/>
            <w:szCs w:val="24"/>
          </w:rPr>
          <w:fldChar w:fldCharType="end"/>
        </w:r>
      </w:sdtContent>
    </w:sdt>
  </w:p>
  <w:p w14:paraId="73DA0E1D" w14:textId="522070B3" w:rsidR="00537143" w:rsidRPr="00537143" w:rsidRDefault="00537143" w:rsidP="00537143">
    <w:pPr>
      <w:pStyle w:val="Header"/>
      <w:rPr>
        <w:b/>
        <w:bCs/>
        <w:color w:val="E97132" w:themeColor="accent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C01F0"/>
    <w:multiLevelType w:val="hybridMultilevel"/>
    <w:tmpl w:val="3C9C785C"/>
    <w:lvl w:ilvl="0" w:tplc="C1CAD64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867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42A"/>
    <w:rsid w:val="00000754"/>
    <w:rsid w:val="000013BB"/>
    <w:rsid w:val="0000327F"/>
    <w:rsid w:val="000042DA"/>
    <w:rsid w:val="00004ADC"/>
    <w:rsid w:val="00007C19"/>
    <w:rsid w:val="000106C6"/>
    <w:rsid w:val="000119F1"/>
    <w:rsid w:val="00011A6B"/>
    <w:rsid w:val="00014FA3"/>
    <w:rsid w:val="00022930"/>
    <w:rsid w:val="00027EC3"/>
    <w:rsid w:val="000374B8"/>
    <w:rsid w:val="00040215"/>
    <w:rsid w:val="000404DF"/>
    <w:rsid w:val="00041E1E"/>
    <w:rsid w:val="00042736"/>
    <w:rsid w:val="00044A27"/>
    <w:rsid w:val="0004644C"/>
    <w:rsid w:val="00047EAB"/>
    <w:rsid w:val="00051872"/>
    <w:rsid w:val="00053EE3"/>
    <w:rsid w:val="0006017B"/>
    <w:rsid w:val="00060249"/>
    <w:rsid w:val="00060509"/>
    <w:rsid w:val="00062B1C"/>
    <w:rsid w:val="000642DD"/>
    <w:rsid w:val="0006577C"/>
    <w:rsid w:val="00066A5E"/>
    <w:rsid w:val="00067467"/>
    <w:rsid w:val="000708E9"/>
    <w:rsid w:val="00070FC8"/>
    <w:rsid w:val="00073F50"/>
    <w:rsid w:val="0007512C"/>
    <w:rsid w:val="000869A6"/>
    <w:rsid w:val="00091CA8"/>
    <w:rsid w:val="00097477"/>
    <w:rsid w:val="000A23E7"/>
    <w:rsid w:val="000A595E"/>
    <w:rsid w:val="000A59A3"/>
    <w:rsid w:val="000A66E8"/>
    <w:rsid w:val="000A6B60"/>
    <w:rsid w:val="000B7816"/>
    <w:rsid w:val="000C5967"/>
    <w:rsid w:val="000C7624"/>
    <w:rsid w:val="000D637C"/>
    <w:rsid w:val="000D6E18"/>
    <w:rsid w:val="000E2A5C"/>
    <w:rsid w:val="000E4009"/>
    <w:rsid w:val="000E767E"/>
    <w:rsid w:val="000F3116"/>
    <w:rsid w:val="000F398D"/>
    <w:rsid w:val="000F44AF"/>
    <w:rsid w:val="001057BA"/>
    <w:rsid w:val="001061B9"/>
    <w:rsid w:val="00112E2E"/>
    <w:rsid w:val="00122DB1"/>
    <w:rsid w:val="0012713F"/>
    <w:rsid w:val="001272C9"/>
    <w:rsid w:val="001315DE"/>
    <w:rsid w:val="00131792"/>
    <w:rsid w:val="001318CC"/>
    <w:rsid w:val="00136144"/>
    <w:rsid w:val="00136A53"/>
    <w:rsid w:val="001403BD"/>
    <w:rsid w:val="0014676A"/>
    <w:rsid w:val="00162626"/>
    <w:rsid w:val="00174401"/>
    <w:rsid w:val="00183740"/>
    <w:rsid w:val="00184F91"/>
    <w:rsid w:val="00185627"/>
    <w:rsid w:val="001933FB"/>
    <w:rsid w:val="001A12FC"/>
    <w:rsid w:val="001A450D"/>
    <w:rsid w:val="001A5E9D"/>
    <w:rsid w:val="001B1F93"/>
    <w:rsid w:val="001B64C4"/>
    <w:rsid w:val="001B723A"/>
    <w:rsid w:val="001C0651"/>
    <w:rsid w:val="001C18F7"/>
    <w:rsid w:val="001C41F3"/>
    <w:rsid w:val="001D36E1"/>
    <w:rsid w:val="001E1444"/>
    <w:rsid w:val="001E193C"/>
    <w:rsid w:val="001E4AC1"/>
    <w:rsid w:val="001E7ACA"/>
    <w:rsid w:val="001F1693"/>
    <w:rsid w:val="001F33A6"/>
    <w:rsid w:val="001F4161"/>
    <w:rsid w:val="001F5125"/>
    <w:rsid w:val="001F5174"/>
    <w:rsid w:val="001F6E13"/>
    <w:rsid w:val="002056EC"/>
    <w:rsid w:val="00207103"/>
    <w:rsid w:val="00207117"/>
    <w:rsid w:val="00211A65"/>
    <w:rsid w:val="00217DB6"/>
    <w:rsid w:val="00221823"/>
    <w:rsid w:val="002324A7"/>
    <w:rsid w:val="00236C2A"/>
    <w:rsid w:val="0023729E"/>
    <w:rsid w:val="002477F6"/>
    <w:rsid w:val="00252B5B"/>
    <w:rsid w:val="00253BAF"/>
    <w:rsid w:val="00261D2F"/>
    <w:rsid w:val="00262382"/>
    <w:rsid w:val="00266599"/>
    <w:rsid w:val="00271B7D"/>
    <w:rsid w:val="0028154C"/>
    <w:rsid w:val="0028702A"/>
    <w:rsid w:val="00293392"/>
    <w:rsid w:val="002936E1"/>
    <w:rsid w:val="002964D4"/>
    <w:rsid w:val="002A4845"/>
    <w:rsid w:val="002A7C00"/>
    <w:rsid w:val="002B5663"/>
    <w:rsid w:val="002B7FE7"/>
    <w:rsid w:val="002C120A"/>
    <w:rsid w:val="002D20F6"/>
    <w:rsid w:val="002D73FC"/>
    <w:rsid w:val="002D7574"/>
    <w:rsid w:val="002E0A3F"/>
    <w:rsid w:val="002E79A0"/>
    <w:rsid w:val="002F4823"/>
    <w:rsid w:val="0030679A"/>
    <w:rsid w:val="00311927"/>
    <w:rsid w:val="00311CE0"/>
    <w:rsid w:val="00313C82"/>
    <w:rsid w:val="00322A87"/>
    <w:rsid w:val="0032445A"/>
    <w:rsid w:val="0032491C"/>
    <w:rsid w:val="00327E71"/>
    <w:rsid w:val="003337CD"/>
    <w:rsid w:val="00335C20"/>
    <w:rsid w:val="003366E9"/>
    <w:rsid w:val="003413AA"/>
    <w:rsid w:val="0034501A"/>
    <w:rsid w:val="003507FA"/>
    <w:rsid w:val="0035626C"/>
    <w:rsid w:val="0036161D"/>
    <w:rsid w:val="00363A4D"/>
    <w:rsid w:val="003647C8"/>
    <w:rsid w:val="003665F5"/>
    <w:rsid w:val="0036767F"/>
    <w:rsid w:val="00370770"/>
    <w:rsid w:val="00371879"/>
    <w:rsid w:val="00375DF7"/>
    <w:rsid w:val="00386AC6"/>
    <w:rsid w:val="0039555A"/>
    <w:rsid w:val="00396C8C"/>
    <w:rsid w:val="00397464"/>
    <w:rsid w:val="003A5872"/>
    <w:rsid w:val="003A5E89"/>
    <w:rsid w:val="003B5C03"/>
    <w:rsid w:val="003C6742"/>
    <w:rsid w:val="003C6F31"/>
    <w:rsid w:val="003C7B42"/>
    <w:rsid w:val="003D6DCA"/>
    <w:rsid w:val="003E2D50"/>
    <w:rsid w:val="003F1041"/>
    <w:rsid w:val="003F58BF"/>
    <w:rsid w:val="00402584"/>
    <w:rsid w:val="004046F8"/>
    <w:rsid w:val="00405B13"/>
    <w:rsid w:val="00405B1A"/>
    <w:rsid w:val="0042344E"/>
    <w:rsid w:val="00423C37"/>
    <w:rsid w:val="00432421"/>
    <w:rsid w:val="00434DE0"/>
    <w:rsid w:val="00441DC8"/>
    <w:rsid w:val="00445AF3"/>
    <w:rsid w:val="00452F53"/>
    <w:rsid w:val="00453F2A"/>
    <w:rsid w:val="004555D7"/>
    <w:rsid w:val="00455ACC"/>
    <w:rsid w:val="00456250"/>
    <w:rsid w:val="00462F0F"/>
    <w:rsid w:val="0046493B"/>
    <w:rsid w:val="004662F2"/>
    <w:rsid w:val="004706A7"/>
    <w:rsid w:val="00470EE6"/>
    <w:rsid w:val="00471090"/>
    <w:rsid w:val="00471B7A"/>
    <w:rsid w:val="00472856"/>
    <w:rsid w:val="00474750"/>
    <w:rsid w:val="0047655B"/>
    <w:rsid w:val="00485272"/>
    <w:rsid w:val="004912FE"/>
    <w:rsid w:val="00491C9F"/>
    <w:rsid w:val="00497710"/>
    <w:rsid w:val="004A275E"/>
    <w:rsid w:val="004A63CE"/>
    <w:rsid w:val="004A69EC"/>
    <w:rsid w:val="004B2D41"/>
    <w:rsid w:val="004B42A4"/>
    <w:rsid w:val="004B4FC2"/>
    <w:rsid w:val="004B5C15"/>
    <w:rsid w:val="004B6DD1"/>
    <w:rsid w:val="004C3BB1"/>
    <w:rsid w:val="004C4BBE"/>
    <w:rsid w:val="004C5003"/>
    <w:rsid w:val="004D0BAB"/>
    <w:rsid w:val="004D2145"/>
    <w:rsid w:val="004D3819"/>
    <w:rsid w:val="004E39D8"/>
    <w:rsid w:val="004E3DFE"/>
    <w:rsid w:val="004E799B"/>
    <w:rsid w:val="004E7E15"/>
    <w:rsid w:val="004F481E"/>
    <w:rsid w:val="004F6A68"/>
    <w:rsid w:val="005023B1"/>
    <w:rsid w:val="00503A30"/>
    <w:rsid w:val="00513DC4"/>
    <w:rsid w:val="005204FB"/>
    <w:rsid w:val="005217A4"/>
    <w:rsid w:val="005267CF"/>
    <w:rsid w:val="0052752C"/>
    <w:rsid w:val="00532503"/>
    <w:rsid w:val="00537143"/>
    <w:rsid w:val="0054274A"/>
    <w:rsid w:val="0055078F"/>
    <w:rsid w:val="0055575D"/>
    <w:rsid w:val="00570ACC"/>
    <w:rsid w:val="00572426"/>
    <w:rsid w:val="00573BF2"/>
    <w:rsid w:val="0058539B"/>
    <w:rsid w:val="00587EA5"/>
    <w:rsid w:val="005906CC"/>
    <w:rsid w:val="0059158F"/>
    <w:rsid w:val="00594BB0"/>
    <w:rsid w:val="00597705"/>
    <w:rsid w:val="005A0FBA"/>
    <w:rsid w:val="005B05E1"/>
    <w:rsid w:val="005B68EC"/>
    <w:rsid w:val="005B79DF"/>
    <w:rsid w:val="005C2F98"/>
    <w:rsid w:val="005C4A95"/>
    <w:rsid w:val="005D5A02"/>
    <w:rsid w:val="005E09DF"/>
    <w:rsid w:val="005E7C69"/>
    <w:rsid w:val="006051A8"/>
    <w:rsid w:val="006078EC"/>
    <w:rsid w:val="00610E67"/>
    <w:rsid w:val="00612156"/>
    <w:rsid w:val="00612F3A"/>
    <w:rsid w:val="00613EFF"/>
    <w:rsid w:val="00617C3B"/>
    <w:rsid w:val="0062183A"/>
    <w:rsid w:val="006262EA"/>
    <w:rsid w:val="00641CEE"/>
    <w:rsid w:val="00642FA1"/>
    <w:rsid w:val="006634F2"/>
    <w:rsid w:val="00664947"/>
    <w:rsid w:val="0067042A"/>
    <w:rsid w:val="00680422"/>
    <w:rsid w:val="00693490"/>
    <w:rsid w:val="00696EE2"/>
    <w:rsid w:val="00697E55"/>
    <w:rsid w:val="006A1D49"/>
    <w:rsid w:val="006B03BF"/>
    <w:rsid w:val="006B52E9"/>
    <w:rsid w:val="006B53F2"/>
    <w:rsid w:val="006B6FC5"/>
    <w:rsid w:val="006C02A1"/>
    <w:rsid w:val="006C1434"/>
    <w:rsid w:val="006C5381"/>
    <w:rsid w:val="006D656A"/>
    <w:rsid w:val="006E3A08"/>
    <w:rsid w:val="006E6A63"/>
    <w:rsid w:val="006E7264"/>
    <w:rsid w:val="006F080D"/>
    <w:rsid w:val="006F3E9F"/>
    <w:rsid w:val="006F546F"/>
    <w:rsid w:val="007000B3"/>
    <w:rsid w:val="0070728B"/>
    <w:rsid w:val="007076A0"/>
    <w:rsid w:val="007078D8"/>
    <w:rsid w:val="0071171A"/>
    <w:rsid w:val="00711B8A"/>
    <w:rsid w:val="00713006"/>
    <w:rsid w:val="00715EFF"/>
    <w:rsid w:val="007211C5"/>
    <w:rsid w:val="007258FE"/>
    <w:rsid w:val="0072592A"/>
    <w:rsid w:val="007416B5"/>
    <w:rsid w:val="0074369E"/>
    <w:rsid w:val="007448B4"/>
    <w:rsid w:val="007615B4"/>
    <w:rsid w:val="00764195"/>
    <w:rsid w:val="00764488"/>
    <w:rsid w:val="007666BF"/>
    <w:rsid w:val="00772AD9"/>
    <w:rsid w:val="00774B57"/>
    <w:rsid w:val="00781A3E"/>
    <w:rsid w:val="00784B16"/>
    <w:rsid w:val="00797892"/>
    <w:rsid w:val="007A5691"/>
    <w:rsid w:val="007A7987"/>
    <w:rsid w:val="007B25AD"/>
    <w:rsid w:val="007C3B0C"/>
    <w:rsid w:val="007C45F3"/>
    <w:rsid w:val="007D0AEC"/>
    <w:rsid w:val="007D0EF8"/>
    <w:rsid w:val="007E7405"/>
    <w:rsid w:val="007E7D66"/>
    <w:rsid w:val="007F2029"/>
    <w:rsid w:val="008053E4"/>
    <w:rsid w:val="00805E36"/>
    <w:rsid w:val="00814034"/>
    <w:rsid w:val="00814F50"/>
    <w:rsid w:val="0081513B"/>
    <w:rsid w:val="00816A8E"/>
    <w:rsid w:val="008222CF"/>
    <w:rsid w:val="008300AD"/>
    <w:rsid w:val="0083016E"/>
    <w:rsid w:val="00830397"/>
    <w:rsid w:val="008304E0"/>
    <w:rsid w:val="00832215"/>
    <w:rsid w:val="00836F3F"/>
    <w:rsid w:val="00842AC6"/>
    <w:rsid w:val="00847525"/>
    <w:rsid w:val="00852D78"/>
    <w:rsid w:val="0085656D"/>
    <w:rsid w:val="008631A9"/>
    <w:rsid w:val="00871C5F"/>
    <w:rsid w:val="00872413"/>
    <w:rsid w:val="00873D0D"/>
    <w:rsid w:val="00882160"/>
    <w:rsid w:val="008859CD"/>
    <w:rsid w:val="008A461D"/>
    <w:rsid w:val="008B1F30"/>
    <w:rsid w:val="008B40FE"/>
    <w:rsid w:val="008C2DBF"/>
    <w:rsid w:val="008C5E43"/>
    <w:rsid w:val="008C7A64"/>
    <w:rsid w:val="008D21EA"/>
    <w:rsid w:val="008D334D"/>
    <w:rsid w:val="008D4218"/>
    <w:rsid w:val="008D4F87"/>
    <w:rsid w:val="008E66F5"/>
    <w:rsid w:val="008F654D"/>
    <w:rsid w:val="008F6CA2"/>
    <w:rsid w:val="0090145C"/>
    <w:rsid w:val="00901A48"/>
    <w:rsid w:val="00901CEC"/>
    <w:rsid w:val="009035DA"/>
    <w:rsid w:val="00905116"/>
    <w:rsid w:val="00907A61"/>
    <w:rsid w:val="00911BCF"/>
    <w:rsid w:val="00915093"/>
    <w:rsid w:val="009150D6"/>
    <w:rsid w:val="009209E5"/>
    <w:rsid w:val="00926511"/>
    <w:rsid w:val="00936567"/>
    <w:rsid w:val="00937983"/>
    <w:rsid w:val="0094082A"/>
    <w:rsid w:val="009438D3"/>
    <w:rsid w:val="009450D7"/>
    <w:rsid w:val="009475B2"/>
    <w:rsid w:val="00951BFA"/>
    <w:rsid w:val="009556E3"/>
    <w:rsid w:val="00956F8D"/>
    <w:rsid w:val="009745C9"/>
    <w:rsid w:val="00977770"/>
    <w:rsid w:val="00977F62"/>
    <w:rsid w:val="00981996"/>
    <w:rsid w:val="0098295C"/>
    <w:rsid w:val="00985CD6"/>
    <w:rsid w:val="00987DCA"/>
    <w:rsid w:val="00991C84"/>
    <w:rsid w:val="00994B9D"/>
    <w:rsid w:val="0099549E"/>
    <w:rsid w:val="009A278F"/>
    <w:rsid w:val="009A57D9"/>
    <w:rsid w:val="009C1168"/>
    <w:rsid w:val="009C1F51"/>
    <w:rsid w:val="009D305A"/>
    <w:rsid w:val="009D7705"/>
    <w:rsid w:val="009E4564"/>
    <w:rsid w:val="009F26B6"/>
    <w:rsid w:val="009F321A"/>
    <w:rsid w:val="00A0069D"/>
    <w:rsid w:val="00A0101B"/>
    <w:rsid w:val="00A065AB"/>
    <w:rsid w:val="00A075E3"/>
    <w:rsid w:val="00A07F88"/>
    <w:rsid w:val="00A12CE0"/>
    <w:rsid w:val="00A2324D"/>
    <w:rsid w:val="00A26945"/>
    <w:rsid w:val="00A31B6D"/>
    <w:rsid w:val="00A418C8"/>
    <w:rsid w:val="00A45875"/>
    <w:rsid w:val="00A45A1F"/>
    <w:rsid w:val="00A47803"/>
    <w:rsid w:val="00A50C3D"/>
    <w:rsid w:val="00A51464"/>
    <w:rsid w:val="00A53085"/>
    <w:rsid w:val="00A60D12"/>
    <w:rsid w:val="00A678C1"/>
    <w:rsid w:val="00A84549"/>
    <w:rsid w:val="00A87CE1"/>
    <w:rsid w:val="00A87E67"/>
    <w:rsid w:val="00A915F1"/>
    <w:rsid w:val="00A941CF"/>
    <w:rsid w:val="00A967E0"/>
    <w:rsid w:val="00A978D2"/>
    <w:rsid w:val="00AA2D47"/>
    <w:rsid w:val="00AB46B1"/>
    <w:rsid w:val="00AB4B0C"/>
    <w:rsid w:val="00AB5C26"/>
    <w:rsid w:val="00AB64AE"/>
    <w:rsid w:val="00AB7375"/>
    <w:rsid w:val="00AC6850"/>
    <w:rsid w:val="00AD1282"/>
    <w:rsid w:val="00AD1CF3"/>
    <w:rsid w:val="00AF25CC"/>
    <w:rsid w:val="00B010D0"/>
    <w:rsid w:val="00B01AE0"/>
    <w:rsid w:val="00B0501B"/>
    <w:rsid w:val="00B150A9"/>
    <w:rsid w:val="00B172D4"/>
    <w:rsid w:val="00B2249F"/>
    <w:rsid w:val="00B3008F"/>
    <w:rsid w:val="00B31782"/>
    <w:rsid w:val="00B377D5"/>
    <w:rsid w:val="00B41988"/>
    <w:rsid w:val="00B4761B"/>
    <w:rsid w:val="00B501F5"/>
    <w:rsid w:val="00B50482"/>
    <w:rsid w:val="00B54DE8"/>
    <w:rsid w:val="00B551DC"/>
    <w:rsid w:val="00B6244A"/>
    <w:rsid w:val="00B63AFC"/>
    <w:rsid w:val="00B67048"/>
    <w:rsid w:val="00B73C9A"/>
    <w:rsid w:val="00B75769"/>
    <w:rsid w:val="00B75BA7"/>
    <w:rsid w:val="00B76779"/>
    <w:rsid w:val="00B90BA7"/>
    <w:rsid w:val="00B90D30"/>
    <w:rsid w:val="00BA0347"/>
    <w:rsid w:val="00BA0F9E"/>
    <w:rsid w:val="00BA1395"/>
    <w:rsid w:val="00BA2697"/>
    <w:rsid w:val="00BA2EA5"/>
    <w:rsid w:val="00BA2FE1"/>
    <w:rsid w:val="00BB3056"/>
    <w:rsid w:val="00BB4929"/>
    <w:rsid w:val="00BB67BC"/>
    <w:rsid w:val="00BC0752"/>
    <w:rsid w:val="00BD1A38"/>
    <w:rsid w:val="00BD2F0D"/>
    <w:rsid w:val="00BD3353"/>
    <w:rsid w:val="00BE7EBA"/>
    <w:rsid w:val="00BF1BD6"/>
    <w:rsid w:val="00BF3791"/>
    <w:rsid w:val="00BF4816"/>
    <w:rsid w:val="00BF5EFB"/>
    <w:rsid w:val="00BF79B1"/>
    <w:rsid w:val="00C016D9"/>
    <w:rsid w:val="00C039C7"/>
    <w:rsid w:val="00C20C5C"/>
    <w:rsid w:val="00C26979"/>
    <w:rsid w:val="00C27CEE"/>
    <w:rsid w:val="00C32A98"/>
    <w:rsid w:val="00C41587"/>
    <w:rsid w:val="00C41588"/>
    <w:rsid w:val="00C419CE"/>
    <w:rsid w:val="00C431A3"/>
    <w:rsid w:val="00C4443A"/>
    <w:rsid w:val="00C5090C"/>
    <w:rsid w:val="00C539C8"/>
    <w:rsid w:val="00C5486C"/>
    <w:rsid w:val="00C622DC"/>
    <w:rsid w:val="00C64932"/>
    <w:rsid w:val="00C73CBB"/>
    <w:rsid w:val="00C773D6"/>
    <w:rsid w:val="00C836B3"/>
    <w:rsid w:val="00C91CA6"/>
    <w:rsid w:val="00C929E1"/>
    <w:rsid w:val="00CA161F"/>
    <w:rsid w:val="00CA41FA"/>
    <w:rsid w:val="00CA4696"/>
    <w:rsid w:val="00CA6D9C"/>
    <w:rsid w:val="00CA7459"/>
    <w:rsid w:val="00CB0907"/>
    <w:rsid w:val="00CB6000"/>
    <w:rsid w:val="00CC1603"/>
    <w:rsid w:val="00CC3864"/>
    <w:rsid w:val="00CC70A9"/>
    <w:rsid w:val="00CC7F2C"/>
    <w:rsid w:val="00CD260F"/>
    <w:rsid w:val="00CD4AF2"/>
    <w:rsid w:val="00CD65BF"/>
    <w:rsid w:val="00CF0076"/>
    <w:rsid w:val="00CF1E71"/>
    <w:rsid w:val="00CF46C0"/>
    <w:rsid w:val="00CF6AF8"/>
    <w:rsid w:val="00CF7CD7"/>
    <w:rsid w:val="00D0157B"/>
    <w:rsid w:val="00D15166"/>
    <w:rsid w:val="00D205FB"/>
    <w:rsid w:val="00D266A1"/>
    <w:rsid w:val="00D31D32"/>
    <w:rsid w:val="00D3244B"/>
    <w:rsid w:val="00D34CBC"/>
    <w:rsid w:val="00D4083E"/>
    <w:rsid w:val="00D472A5"/>
    <w:rsid w:val="00D51C0D"/>
    <w:rsid w:val="00D523A0"/>
    <w:rsid w:val="00D52EC9"/>
    <w:rsid w:val="00D53216"/>
    <w:rsid w:val="00D5426F"/>
    <w:rsid w:val="00D5720B"/>
    <w:rsid w:val="00D62FE9"/>
    <w:rsid w:val="00D671C3"/>
    <w:rsid w:val="00D72C0C"/>
    <w:rsid w:val="00D843C7"/>
    <w:rsid w:val="00D84E8D"/>
    <w:rsid w:val="00D87A15"/>
    <w:rsid w:val="00D90EB9"/>
    <w:rsid w:val="00D91B22"/>
    <w:rsid w:val="00D91DFB"/>
    <w:rsid w:val="00D92D71"/>
    <w:rsid w:val="00D9416A"/>
    <w:rsid w:val="00D9515A"/>
    <w:rsid w:val="00D96D5F"/>
    <w:rsid w:val="00DA0E5C"/>
    <w:rsid w:val="00DB32A0"/>
    <w:rsid w:val="00DB679C"/>
    <w:rsid w:val="00DB6A83"/>
    <w:rsid w:val="00DB6BFB"/>
    <w:rsid w:val="00DB6EB0"/>
    <w:rsid w:val="00DC6488"/>
    <w:rsid w:val="00DD22FB"/>
    <w:rsid w:val="00DE40F6"/>
    <w:rsid w:val="00DE433C"/>
    <w:rsid w:val="00DF0BCB"/>
    <w:rsid w:val="00DF2413"/>
    <w:rsid w:val="00E06AB7"/>
    <w:rsid w:val="00E06BB1"/>
    <w:rsid w:val="00E13F78"/>
    <w:rsid w:val="00E24698"/>
    <w:rsid w:val="00E24B23"/>
    <w:rsid w:val="00E25576"/>
    <w:rsid w:val="00E30B25"/>
    <w:rsid w:val="00E412B7"/>
    <w:rsid w:val="00E42DCB"/>
    <w:rsid w:val="00E45C75"/>
    <w:rsid w:val="00E512BB"/>
    <w:rsid w:val="00E57F87"/>
    <w:rsid w:val="00E6065F"/>
    <w:rsid w:val="00E63517"/>
    <w:rsid w:val="00E71116"/>
    <w:rsid w:val="00E71F86"/>
    <w:rsid w:val="00E75131"/>
    <w:rsid w:val="00E76BA4"/>
    <w:rsid w:val="00E8140A"/>
    <w:rsid w:val="00E84065"/>
    <w:rsid w:val="00E85F99"/>
    <w:rsid w:val="00E871E0"/>
    <w:rsid w:val="00E920F0"/>
    <w:rsid w:val="00E931EC"/>
    <w:rsid w:val="00E93DCD"/>
    <w:rsid w:val="00E96F69"/>
    <w:rsid w:val="00EA16F6"/>
    <w:rsid w:val="00EA28F5"/>
    <w:rsid w:val="00EA4BAA"/>
    <w:rsid w:val="00EA6CE1"/>
    <w:rsid w:val="00EB028A"/>
    <w:rsid w:val="00EB3B61"/>
    <w:rsid w:val="00EC14BB"/>
    <w:rsid w:val="00ED0A6F"/>
    <w:rsid w:val="00ED1E50"/>
    <w:rsid w:val="00ED6F4E"/>
    <w:rsid w:val="00EE00DB"/>
    <w:rsid w:val="00EE1F69"/>
    <w:rsid w:val="00EE4A46"/>
    <w:rsid w:val="00EF0641"/>
    <w:rsid w:val="00EF06B6"/>
    <w:rsid w:val="00EF202B"/>
    <w:rsid w:val="00EF502B"/>
    <w:rsid w:val="00EF6F70"/>
    <w:rsid w:val="00F017A3"/>
    <w:rsid w:val="00F16F2A"/>
    <w:rsid w:val="00F1788E"/>
    <w:rsid w:val="00F309BC"/>
    <w:rsid w:val="00F36A18"/>
    <w:rsid w:val="00F36F53"/>
    <w:rsid w:val="00F40D5F"/>
    <w:rsid w:val="00F432B3"/>
    <w:rsid w:val="00F45716"/>
    <w:rsid w:val="00F54A3D"/>
    <w:rsid w:val="00F570BC"/>
    <w:rsid w:val="00F6006D"/>
    <w:rsid w:val="00F63D07"/>
    <w:rsid w:val="00F6652F"/>
    <w:rsid w:val="00F67877"/>
    <w:rsid w:val="00F71E29"/>
    <w:rsid w:val="00F76A14"/>
    <w:rsid w:val="00F9269B"/>
    <w:rsid w:val="00FA08F3"/>
    <w:rsid w:val="00FA1FBC"/>
    <w:rsid w:val="00FA2CEE"/>
    <w:rsid w:val="00FD2804"/>
    <w:rsid w:val="00FD5272"/>
    <w:rsid w:val="00FD7746"/>
    <w:rsid w:val="00FF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2115B"/>
  <w15:chartTrackingRefBased/>
  <w15:docId w15:val="{4AE2295D-57F0-4644-AD7F-85332393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413"/>
  </w:style>
  <w:style w:type="paragraph" w:styleId="Heading1">
    <w:name w:val="heading 1"/>
    <w:basedOn w:val="Normal"/>
    <w:next w:val="Normal"/>
    <w:link w:val="Heading1Char"/>
    <w:uiPriority w:val="9"/>
    <w:qFormat/>
    <w:rsid w:val="00DF2413"/>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DF2413"/>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DF2413"/>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DF2413"/>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DF2413"/>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DF2413"/>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DF2413"/>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DF2413"/>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DF2413"/>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413"/>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DF2413"/>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DF2413"/>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DF2413"/>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DF2413"/>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DF2413"/>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DF2413"/>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DF2413"/>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DF2413"/>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DF2413"/>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DF2413"/>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DF2413"/>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DF2413"/>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DF2413"/>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DF2413"/>
    <w:rPr>
      <w:rFonts w:asciiTheme="majorHAnsi" w:eastAsiaTheme="majorEastAsia" w:hAnsiTheme="majorHAnsi" w:cstheme="majorBidi"/>
      <w:sz w:val="25"/>
      <w:szCs w:val="25"/>
    </w:rPr>
  </w:style>
  <w:style w:type="paragraph" w:styleId="ListParagraph">
    <w:name w:val="List Paragraph"/>
    <w:basedOn w:val="Normal"/>
    <w:uiPriority w:val="34"/>
    <w:qFormat/>
    <w:rsid w:val="0067042A"/>
    <w:pPr>
      <w:ind w:left="720"/>
      <w:contextualSpacing/>
    </w:pPr>
  </w:style>
  <w:style w:type="character" w:styleId="IntenseEmphasis">
    <w:name w:val="Intense Emphasis"/>
    <w:basedOn w:val="DefaultParagraphFont"/>
    <w:uiPriority w:val="21"/>
    <w:qFormat/>
    <w:rsid w:val="00DF2413"/>
    <w:rPr>
      <w:b/>
      <w:bCs/>
      <w:i/>
      <w:iCs/>
    </w:rPr>
  </w:style>
  <w:style w:type="paragraph" w:styleId="IntenseQuote">
    <w:name w:val="Intense Quote"/>
    <w:basedOn w:val="Normal"/>
    <w:next w:val="Normal"/>
    <w:link w:val="IntenseQuoteChar"/>
    <w:uiPriority w:val="30"/>
    <w:qFormat/>
    <w:rsid w:val="00DF2413"/>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DF2413"/>
    <w:rPr>
      <w:color w:val="404040" w:themeColor="text1" w:themeTint="BF"/>
      <w:sz w:val="32"/>
      <w:szCs w:val="32"/>
    </w:rPr>
  </w:style>
  <w:style w:type="character" w:styleId="IntenseReference">
    <w:name w:val="Intense Reference"/>
    <w:basedOn w:val="DefaultParagraphFont"/>
    <w:uiPriority w:val="32"/>
    <w:qFormat/>
    <w:rsid w:val="00DF2413"/>
    <w:rPr>
      <w:b/>
      <w:bCs/>
      <w:caps w:val="0"/>
      <w:smallCaps/>
      <w:color w:val="auto"/>
      <w:spacing w:val="3"/>
      <w:u w:val="single"/>
    </w:rPr>
  </w:style>
  <w:style w:type="character" w:styleId="Hyperlink">
    <w:name w:val="Hyperlink"/>
    <w:basedOn w:val="DefaultParagraphFont"/>
    <w:uiPriority w:val="99"/>
    <w:unhideWhenUsed/>
    <w:rsid w:val="00EA6CE1"/>
    <w:rPr>
      <w:color w:val="467886" w:themeColor="hyperlink"/>
      <w:u w:val="single"/>
    </w:rPr>
  </w:style>
  <w:style w:type="character" w:styleId="UnresolvedMention">
    <w:name w:val="Unresolved Mention"/>
    <w:basedOn w:val="DefaultParagraphFont"/>
    <w:uiPriority w:val="99"/>
    <w:semiHidden/>
    <w:unhideWhenUsed/>
    <w:rsid w:val="00EA6CE1"/>
    <w:rPr>
      <w:color w:val="605E5C"/>
      <w:shd w:val="clear" w:color="auto" w:fill="E1DFDD"/>
    </w:rPr>
  </w:style>
  <w:style w:type="paragraph" w:styleId="TOCHeading">
    <w:name w:val="TOC Heading"/>
    <w:basedOn w:val="Heading1"/>
    <w:next w:val="Normal"/>
    <w:uiPriority w:val="39"/>
    <w:unhideWhenUsed/>
    <w:qFormat/>
    <w:rsid w:val="00DF2413"/>
    <w:pPr>
      <w:outlineLvl w:val="9"/>
    </w:pPr>
  </w:style>
  <w:style w:type="paragraph" w:styleId="Caption">
    <w:name w:val="caption"/>
    <w:basedOn w:val="Normal"/>
    <w:next w:val="Normal"/>
    <w:uiPriority w:val="35"/>
    <w:semiHidden/>
    <w:unhideWhenUsed/>
    <w:qFormat/>
    <w:rsid w:val="00DF2413"/>
    <w:pPr>
      <w:spacing w:line="240" w:lineRule="auto"/>
    </w:pPr>
    <w:rPr>
      <w:b/>
      <w:bCs/>
      <w:smallCaps/>
      <w:color w:val="595959" w:themeColor="text1" w:themeTint="A6"/>
    </w:rPr>
  </w:style>
  <w:style w:type="character" w:styleId="Strong">
    <w:name w:val="Strong"/>
    <w:basedOn w:val="DefaultParagraphFont"/>
    <w:uiPriority w:val="22"/>
    <w:qFormat/>
    <w:rsid w:val="00DF2413"/>
    <w:rPr>
      <w:b/>
      <w:bCs/>
    </w:rPr>
  </w:style>
  <w:style w:type="character" w:styleId="Emphasis">
    <w:name w:val="Emphasis"/>
    <w:basedOn w:val="DefaultParagraphFont"/>
    <w:uiPriority w:val="20"/>
    <w:qFormat/>
    <w:rsid w:val="00DF2413"/>
    <w:rPr>
      <w:i/>
      <w:iCs/>
    </w:rPr>
  </w:style>
  <w:style w:type="paragraph" w:styleId="NoSpacing">
    <w:name w:val="No Spacing"/>
    <w:uiPriority w:val="1"/>
    <w:qFormat/>
    <w:rsid w:val="00DF2413"/>
    <w:pPr>
      <w:spacing w:after="0" w:line="240" w:lineRule="auto"/>
    </w:pPr>
  </w:style>
  <w:style w:type="character" w:styleId="SubtleEmphasis">
    <w:name w:val="Subtle Emphasis"/>
    <w:basedOn w:val="DefaultParagraphFont"/>
    <w:uiPriority w:val="19"/>
    <w:qFormat/>
    <w:rsid w:val="00DF2413"/>
    <w:rPr>
      <w:i/>
      <w:iCs/>
      <w:color w:val="595959" w:themeColor="text1" w:themeTint="A6"/>
    </w:rPr>
  </w:style>
  <w:style w:type="character" w:styleId="SubtleReference">
    <w:name w:val="Subtle Reference"/>
    <w:basedOn w:val="DefaultParagraphFont"/>
    <w:uiPriority w:val="31"/>
    <w:qFormat/>
    <w:rsid w:val="00DF2413"/>
    <w:rPr>
      <w:smallCaps/>
      <w:color w:val="404040" w:themeColor="text1" w:themeTint="BF"/>
      <w:u w:val="single" w:color="7F7F7F" w:themeColor="text1" w:themeTint="80"/>
    </w:rPr>
  </w:style>
  <w:style w:type="character" w:styleId="BookTitle">
    <w:name w:val="Book Title"/>
    <w:basedOn w:val="DefaultParagraphFont"/>
    <w:uiPriority w:val="33"/>
    <w:qFormat/>
    <w:rsid w:val="00DF2413"/>
    <w:rPr>
      <w:b/>
      <w:bCs/>
      <w:smallCaps/>
      <w:spacing w:val="7"/>
    </w:rPr>
  </w:style>
  <w:style w:type="paragraph" w:styleId="TOC2">
    <w:name w:val="toc 2"/>
    <w:basedOn w:val="Normal"/>
    <w:next w:val="Normal"/>
    <w:autoRedefine/>
    <w:uiPriority w:val="39"/>
    <w:unhideWhenUsed/>
    <w:rsid w:val="00DF2413"/>
    <w:pPr>
      <w:spacing w:after="100"/>
      <w:ind w:left="220"/>
    </w:pPr>
    <w:rPr>
      <w:rFonts w:cs="Times New Roman"/>
    </w:rPr>
  </w:style>
  <w:style w:type="paragraph" w:styleId="TOC1">
    <w:name w:val="toc 1"/>
    <w:basedOn w:val="Normal"/>
    <w:next w:val="Normal"/>
    <w:autoRedefine/>
    <w:uiPriority w:val="39"/>
    <w:unhideWhenUsed/>
    <w:rsid w:val="00DF2413"/>
    <w:pPr>
      <w:spacing w:after="100"/>
    </w:pPr>
    <w:rPr>
      <w:rFonts w:cs="Times New Roman"/>
    </w:rPr>
  </w:style>
  <w:style w:type="paragraph" w:styleId="TOC3">
    <w:name w:val="toc 3"/>
    <w:basedOn w:val="Normal"/>
    <w:next w:val="Normal"/>
    <w:autoRedefine/>
    <w:uiPriority w:val="39"/>
    <w:unhideWhenUsed/>
    <w:rsid w:val="00DF2413"/>
    <w:pPr>
      <w:spacing w:after="100"/>
      <w:ind w:left="440"/>
    </w:pPr>
    <w:rPr>
      <w:rFonts w:cs="Times New Roman"/>
    </w:rPr>
  </w:style>
  <w:style w:type="paragraph" w:styleId="Header">
    <w:name w:val="header"/>
    <w:basedOn w:val="Normal"/>
    <w:link w:val="HeaderChar"/>
    <w:uiPriority w:val="99"/>
    <w:unhideWhenUsed/>
    <w:rsid w:val="00DF2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413"/>
  </w:style>
  <w:style w:type="paragraph" w:styleId="Footer">
    <w:name w:val="footer"/>
    <w:basedOn w:val="Normal"/>
    <w:link w:val="FooterChar"/>
    <w:uiPriority w:val="99"/>
    <w:unhideWhenUsed/>
    <w:rsid w:val="00DF2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413"/>
  </w:style>
  <w:style w:type="character" w:styleId="FollowedHyperlink">
    <w:name w:val="FollowedHyperlink"/>
    <w:basedOn w:val="DefaultParagraphFont"/>
    <w:uiPriority w:val="99"/>
    <w:semiHidden/>
    <w:unhideWhenUsed/>
    <w:rsid w:val="005371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c.nh.gov/rsa/html/XXXVII/417-B/417-B-2.htm" TargetMode="External"/><Relationship Id="rId18" Type="http://schemas.openxmlformats.org/officeDocument/2006/relationships/hyperlink" Target="https://gc.nh.gov/rsa/html/XXXVII/417-C/417-C-1.htm" TargetMode="External"/><Relationship Id="rId26" Type="http://schemas.openxmlformats.org/officeDocument/2006/relationships/hyperlink" Target="https://gc.nh.gov/rsa/html/XXXVII/407-D/407-D-3.htm" TargetMode="External"/><Relationship Id="rId39" Type="http://schemas.openxmlformats.org/officeDocument/2006/relationships/hyperlink" Target="https://gc.nh.gov/rsa/html/XXIII/281-A/281-A-2.htm" TargetMode="External"/><Relationship Id="rId21" Type="http://schemas.openxmlformats.org/officeDocument/2006/relationships/hyperlink" Target="https://gc.nh.gov/rsa/html/XXXVII/417-C/417-C-4.htm" TargetMode="External"/><Relationship Id="rId34" Type="http://schemas.openxmlformats.org/officeDocument/2006/relationships/hyperlink" Target="https://gc.nh.gov/rsa/html/XXXVII/412/412-8.htm" TargetMode="External"/><Relationship Id="rId42" Type="http://schemas.openxmlformats.org/officeDocument/2006/relationships/hyperlink" Target="https://gc.nh.gov/rsa/html/XXXVII/412/412-37-a.htm"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c.nh.gov/rsa/html/XXXVII/417-B/417-B-3-a.htm" TargetMode="External"/><Relationship Id="rId29" Type="http://schemas.openxmlformats.org/officeDocument/2006/relationships/hyperlink" Target="https://gc.nh.gov/rsa/html/NHTOC/NHTOC-XXXVII-402-J.htm" TargetMode="External"/><Relationship Id="rId11" Type="http://schemas.openxmlformats.org/officeDocument/2006/relationships/hyperlink" Target="https://gc.nh.gov/rsa/html/XXXVII/417-A/417-A-4.htm" TargetMode="External"/><Relationship Id="rId24" Type="http://schemas.openxmlformats.org/officeDocument/2006/relationships/hyperlink" Target="https://gc.nh.gov/rules/state_agencies/ins1000.html" TargetMode="External"/><Relationship Id="rId32" Type="http://schemas.openxmlformats.org/officeDocument/2006/relationships/hyperlink" Target="https://gc.nh.gov/rules/state_agencies/ins1300.html" TargetMode="External"/><Relationship Id="rId37" Type="http://schemas.openxmlformats.org/officeDocument/2006/relationships/hyperlink" Target="https://gc.nh.gov/rules/state_agencies/ins1400.html" TargetMode="External"/><Relationship Id="rId40" Type="http://schemas.openxmlformats.org/officeDocument/2006/relationships/hyperlink" Target="https://gc.nh.gov/rsa/html/XXIII/281-A/281-A-18.htm" TargetMode="External"/><Relationship Id="rId45" Type="http://schemas.openxmlformats.org/officeDocument/2006/relationships/hyperlink" Target="https://gc.nh.gov/rsa/html/XXXVII/417/417-4.htm" TargetMode="External"/><Relationship Id="rId53"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hyperlink" Target="https://gc.nh.gov/rsa/html/XXXVII/417-A/417-A-3-c.htm" TargetMode="External"/><Relationship Id="rId19" Type="http://schemas.openxmlformats.org/officeDocument/2006/relationships/hyperlink" Target="https://gc.nh.gov/rsa/html/XXXVII/417-C/417-C-2.htm" TargetMode="External"/><Relationship Id="rId31" Type="http://schemas.openxmlformats.org/officeDocument/2006/relationships/hyperlink" Target="https://gc.nh.gov/rsa/html/XXXVII/402-J/402-J-7-a.htm" TargetMode="External"/><Relationship Id="rId44" Type="http://schemas.openxmlformats.org/officeDocument/2006/relationships/hyperlink" Target="https://gc.nh.gov/rsa/html/XXXVII/407/407-11.htm" TargetMode="External"/><Relationship Id="rId5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gc.nh.gov/rsa/html/XXXVII/417-A/417-A-3-a.htm" TargetMode="External"/><Relationship Id="rId14" Type="http://schemas.openxmlformats.org/officeDocument/2006/relationships/hyperlink" Target="https://gc.nh.gov/rsa/html/XXXVII/417-B/417-B-2-a.htm" TargetMode="External"/><Relationship Id="rId22" Type="http://schemas.openxmlformats.org/officeDocument/2006/relationships/hyperlink" Target="https://gc.nh.gov/rsa/html/XXIII/281-A/281-A-9.htm" TargetMode="External"/><Relationship Id="rId27" Type="http://schemas.openxmlformats.org/officeDocument/2006/relationships/hyperlink" Target="https://gc.nh.gov/rsa/html/XXXVII/407-D/407-D-3-a.htm" TargetMode="External"/><Relationship Id="rId30" Type="http://schemas.openxmlformats.org/officeDocument/2006/relationships/hyperlink" Target="https://gc.nh.gov/rsa/html/XXXVII/402-J/402-J-3.htm" TargetMode="External"/><Relationship Id="rId35" Type="http://schemas.openxmlformats.org/officeDocument/2006/relationships/hyperlink" Target="https://gc.nh.gov/rsa/html/XXI/264/264-15.htm" TargetMode="External"/><Relationship Id="rId43" Type="http://schemas.openxmlformats.org/officeDocument/2006/relationships/hyperlink" Target="https://www.gc.nh.gov/rsa/html/XXXVII/405/405-24.htm" TargetMode="External"/><Relationship Id="rId48" Type="http://schemas.openxmlformats.org/officeDocument/2006/relationships/footer" Target="footer1.xml"/><Relationship Id="rId8" Type="http://schemas.openxmlformats.org/officeDocument/2006/relationships/hyperlink" Target="https://gc.nh.gov/rsa/html/XXXVII/417-A/417-A-3.htm" TargetMode="External"/><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gc.nh.gov/rsa/html/XXXVII/417-A/417-A-5.htm" TargetMode="External"/><Relationship Id="rId17" Type="http://schemas.openxmlformats.org/officeDocument/2006/relationships/hyperlink" Target="https://gc.nh.gov/rsa/html/XXXVII/417-B/417-B-4.htm" TargetMode="External"/><Relationship Id="rId25" Type="http://schemas.openxmlformats.org/officeDocument/2006/relationships/hyperlink" Target="https://gc.nh.gov/rsa/html/NHTOC/NHTOC-XXXVII-407-D.htm" TargetMode="External"/><Relationship Id="rId33" Type="http://schemas.openxmlformats.org/officeDocument/2006/relationships/hyperlink" Target="https://gc.nh.gov/rules/state_agencies/ins1300.html" TargetMode="External"/><Relationship Id="rId38" Type="http://schemas.openxmlformats.org/officeDocument/2006/relationships/hyperlink" Target="https://gc.nh.gov/rsa/html/NHTOC/NHTOC-XXIII-281-A.htm" TargetMode="External"/><Relationship Id="rId46" Type="http://schemas.openxmlformats.org/officeDocument/2006/relationships/hyperlink" Target="https://gc.nh.gov/rsa/html/XXXVII/412/412-6-b.htm" TargetMode="External"/><Relationship Id="rId20" Type="http://schemas.openxmlformats.org/officeDocument/2006/relationships/hyperlink" Target="https://gc.nh.gov/rsa/html/XXXVII/417-C/417-C-3.htm" TargetMode="External"/><Relationship Id="rId41" Type="http://schemas.openxmlformats.org/officeDocument/2006/relationships/hyperlink" Target="https://gc.nh.gov/rsa/html/XXIII/281-A/281-A-18-a.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c.nh.gov/rsa/html/XXXVII/417-B/417-B-3.htm" TargetMode="External"/><Relationship Id="rId23" Type="http://schemas.openxmlformats.org/officeDocument/2006/relationships/hyperlink" Target="https://gc.nh.gov/rsa/html/XXXVII/417/417-4.htm" TargetMode="External"/><Relationship Id="rId28" Type="http://schemas.openxmlformats.org/officeDocument/2006/relationships/hyperlink" Target="https://gc.nh.gov/rsa/html/XXXVII/407-D/407-D-4.htm" TargetMode="External"/><Relationship Id="rId36" Type="http://schemas.openxmlformats.org/officeDocument/2006/relationships/hyperlink" Target="https://gc.nh.gov/rsa/html/XXI/264/264-16.htm" TargetMode="External"/><Relationship Id="rId4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bigin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34CD8450956A498FF80E0B84E54B20" ma:contentTypeVersion="19" ma:contentTypeDescription="Create a new document." ma:contentTypeScope="" ma:versionID="9a517bc56bb7a69fdbaf768f74eb09da">
  <xsd:schema xmlns:xsd="http://www.w3.org/2001/XMLSchema" xmlns:xs="http://www.w3.org/2001/XMLSchema" xmlns:p="http://schemas.microsoft.com/office/2006/metadata/properties" xmlns:ns2="01f1f6a5-f650-41f4-99ad-e86e18dfbe33" xmlns:ns3="1b380c62-0138-41f5-a21a-dec4b820d4ae" targetNamespace="http://schemas.microsoft.com/office/2006/metadata/properties" ma:root="true" ma:fieldsID="eb3014cab1df2cc766ccbb8bea735ffe" ns2:_="" ns3:_="">
    <xsd:import namespace="01f1f6a5-f650-41f4-99ad-e86e18dfbe33"/>
    <xsd:import namespace="1b380c62-0138-41f5-a21a-dec4b820d4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1f6a5-f650-41f4-99ad-e86e18dfb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d64c2d-c645-42de-8d5e-5746dad76fc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380c62-0138-41f5-a21a-dec4b820d4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5fb330-157e-43b2-b0b4-bdfb8fee727f}" ma:internalName="TaxCatchAll" ma:showField="CatchAllData" ma:web="1b380c62-0138-41f5-a21a-dec4b820d4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f1f6a5-f650-41f4-99ad-e86e18dfbe33">
      <Terms xmlns="http://schemas.microsoft.com/office/infopath/2007/PartnerControls"/>
    </lcf76f155ced4ddcb4097134ff3c332f>
    <TaxCatchAll xmlns="1b380c62-0138-41f5-a21a-dec4b820d4ae" xsi:nil="true"/>
  </documentManagement>
</p:properties>
</file>

<file path=customXml/itemProps1.xml><?xml version="1.0" encoding="utf-8"?>
<ds:datastoreItem xmlns:ds="http://schemas.openxmlformats.org/officeDocument/2006/customXml" ds:itemID="{4D15B10A-3D08-4222-AA10-77B3DAF371D5}">
  <ds:schemaRefs>
    <ds:schemaRef ds:uri="http://schemas.openxmlformats.org/officeDocument/2006/bibliography"/>
  </ds:schemaRefs>
</ds:datastoreItem>
</file>

<file path=customXml/itemProps2.xml><?xml version="1.0" encoding="utf-8"?>
<ds:datastoreItem xmlns:ds="http://schemas.openxmlformats.org/officeDocument/2006/customXml" ds:itemID="{9CAE80B6-3FEB-44D0-A57C-3CCDAD9DE76D}"/>
</file>

<file path=customXml/itemProps3.xml><?xml version="1.0" encoding="utf-8"?>
<ds:datastoreItem xmlns:ds="http://schemas.openxmlformats.org/officeDocument/2006/customXml" ds:itemID="{A72A18F4-1917-4CB3-ADE6-8506DBACF97F}"/>
</file>

<file path=customXml/itemProps4.xml><?xml version="1.0" encoding="utf-8"?>
<ds:datastoreItem xmlns:ds="http://schemas.openxmlformats.org/officeDocument/2006/customXml" ds:itemID="{8249A945-5C7E-4F01-BD0B-D7182FCB9A6D}"/>
</file>

<file path=docMetadata/LabelInfo.xml><?xml version="1.0" encoding="utf-8"?>
<clbl:labelList xmlns:clbl="http://schemas.microsoft.com/office/2020/mipLabelMetadata">
  <clbl:label id="{630a11fd-b767-471c-9fc8-ca2722979ea8}" enabled="1" method="Standard" siteId="{257eb5b6-34b5-4a1f-8ac8-f2dab8709f67}"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1434</Words>
  <Characters>8366</Characters>
  <Application>Microsoft Office Word</Application>
  <DocSecurity>4</DocSecurity>
  <Lines>194</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Scala</dc:creator>
  <cp:keywords/>
  <dc:description/>
  <cp:lastModifiedBy>Cara Scala</cp:lastModifiedBy>
  <cp:revision>2</cp:revision>
  <dcterms:created xsi:type="dcterms:W3CDTF">2026-02-10T16:20:00Z</dcterms:created>
  <dcterms:modified xsi:type="dcterms:W3CDTF">2026-02-10T16:20:00Z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0x0101007D34CD8450956A498FF80E0B84E54B20</vt:lpwstr>
  </property>
</Properties>
</file>